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A41" w14:textId="77777777" w:rsidR="005C2D9E" w:rsidRDefault="005C2D9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7375"/>
      </w:tblGrid>
      <w:tr w:rsidR="005C2D9E" w14:paraId="534FDA44" w14:textId="77777777">
        <w:tc>
          <w:tcPr>
            <w:tcW w:w="1975" w:type="dxa"/>
          </w:tcPr>
          <w:p w14:paraId="534FDA42" w14:textId="77777777" w:rsidR="005C2D9E" w:rsidRDefault="00272C2D">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Title:</w:t>
            </w:r>
          </w:p>
        </w:tc>
        <w:tc>
          <w:tcPr>
            <w:tcW w:w="7375" w:type="dxa"/>
          </w:tcPr>
          <w:p w14:paraId="534FDA43" w14:textId="142D5BCF" w:rsidR="005C2D9E" w:rsidRDefault="00272C2D">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 xml:space="preserve">Use of </w:t>
            </w:r>
            <w:r w:rsidR="0054403F">
              <w:rPr>
                <w:rFonts w:ascii="Arial" w:eastAsia="Arial" w:hAnsi="Arial" w:cs="Arial"/>
                <w:color w:val="000000"/>
                <w:sz w:val="20"/>
                <w:szCs w:val="20"/>
              </w:rPr>
              <w:t>Electronic Delegation of Authority</w:t>
            </w:r>
          </w:p>
        </w:tc>
      </w:tr>
      <w:tr w:rsidR="005C2D9E" w14:paraId="534FDA47" w14:textId="77777777">
        <w:tc>
          <w:tcPr>
            <w:tcW w:w="1975" w:type="dxa"/>
          </w:tcPr>
          <w:p w14:paraId="534FDA45" w14:textId="77777777" w:rsidR="005C2D9E" w:rsidRDefault="00272C2D">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Version:</w:t>
            </w:r>
          </w:p>
        </w:tc>
        <w:tc>
          <w:tcPr>
            <w:tcW w:w="7375" w:type="dxa"/>
          </w:tcPr>
          <w:p w14:paraId="534FDA46" w14:textId="77777777" w:rsidR="005C2D9E" w:rsidRDefault="005C2D9E">
            <w:pPr>
              <w:pBdr>
                <w:top w:val="nil"/>
                <w:left w:val="nil"/>
                <w:bottom w:val="nil"/>
                <w:right w:val="nil"/>
                <w:between w:val="nil"/>
              </w:pBdr>
              <w:tabs>
                <w:tab w:val="center" w:pos="4680"/>
                <w:tab w:val="right" w:pos="9360"/>
              </w:tabs>
              <w:rPr>
                <w:rFonts w:ascii="Arial" w:eastAsia="Arial" w:hAnsi="Arial" w:cs="Arial"/>
                <w:color w:val="000000"/>
                <w:sz w:val="20"/>
                <w:szCs w:val="20"/>
              </w:rPr>
            </w:pPr>
          </w:p>
        </w:tc>
      </w:tr>
      <w:tr w:rsidR="005C2D9E" w14:paraId="534FDA4A" w14:textId="77777777">
        <w:tc>
          <w:tcPr>
            <w:tcW w:w="1975" w:type="dxa"/>
          </w:tcPr>
          <w:p w14:paraId="534FDA48" w14:textId="77777777" w:rsidR="005C2D9E" w:rsidRDefault="00272C2D">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Effective Date:</w:t>
            </w:r>
          </w:p>
        </w:tc>
        <w:tc>
          <w:tcPr>
            <w:tcW w:w="7375" w:type="dxa"/>
          </w:tcPr>
          <w:p w14:paraId="534FDA49" w14:textId="77777777" w:rsidR="005C2D9E" w:rsidRDefault="005C2D9E">
            <w:pPr>
              <w:pBdr>
                <w:top w:val="nil"/>
                <w:left w:val="nil"/>
                <w:bottom w:val="nil"/>
                <w:right w:val="nil"/>
                <w:between w:val="nil"/>
              </w:pBdr>
              <w:tabs>
                <w:tab w:val="center" w:pos="4680"/>
                <w:tab w:val="right" w:pos="9360"/>
              </w:tabs>
              <w:rPr>
                <w:rFonts w:ascii="Arial" w:eastAsia="Arial" w:hAnsi="Arial" w:cs="Arial"/>
                <w:color w:val="000000"/>
                <w:sz w:val="20"/>
                <w:szCs w:val="20"/>
              </w:rPr>
            </w:pPr>
          </w:p>
        </w:tc>
      </w:tr>
    </w:tbl>
    <w:p w14:paraId="534FDA4B" w14:textId="77777777" w:rsidR="005C2D9E" w:rsidRDefault="005C2D9E">
      <w:pPr>
        <w:spacing w:after="0" w:line="240" w:lineRule="auto"/>
        <w:ind w:left="720" w:hanging="360"/>
        <w:rPr>
          <w:rFonts w:ascii="Arial" w:eastAsia="Arial" w:hAnsi="Arial" w:cs="Arial"/>
          <w:sz w:val="20"/>
          <w:szCs w:val="20"/>
        </w:rPr>
      </w:pPr>
    </w:p>
    <w:p w14:paraId="534FDA4C" w14:textId="77777777" w:rsidR="005C2D9E" w:rsidRDefault="00272C2D">
      <w:pPr>
        <w:spacing w:after="0" w:line="240" w:lineRule="auto"/>
        <w:rPr>
          <w:rFonts w:ascii="Arial" w:eastAsia="Arial" w:hAnsi="Arial" w:cs="Arial"/>
          <w:b/>
          <w:sz w:val="20"/>
          <w:szCs w:val="20"/>
        </w:rPr>
      </w:pPr>
      <w:r>
        <w:rPr>
          <w:rFonts w:ascii="Arial" w:eastAsia="Arial" w:hAnsi="Arial" w:cs="Arial"/>
          <w:b/>
          <w:sz w:val="20"/>
          <w:szCs w:val="20"/>
        </w:rPr>
        <w:t>Purpose:</w:t>
      </w:r>
      <w:r>
        <w:rPr>
          <w:rFonts w:ascii="Arial" w:eastAsia="Arial" w:hAnsi="Arial" w:cs="Arial"/>
          <w:b/>
          <w:sz w:val="20"/>
          <w:szCs w:val="20"/>
        </w:rPr>
        <w:br/>
      </w:r>
    </w:p>
    <w:p w14:paraId="534FDA4D" w14:textId="391C8E52" w:rsidR="005C2D9E" w:rsidRDefault="00272C2D">
      <w:pPr>
        <w:spacing w:before="80" w:after="0" w:line="275" w:lineRule="auto"/>
        <w:ind w:left="720"/>
        <w:rPr>
          <w:rFonts w:ascii="Arial" w:eastAsia="Arial" w:hAnsi="Arial" w:cs="Arial"/>
          <w:sz w:val="20"/>
          <w:szCs w:val="20"/>
        </w:rPr>
      </w:pPr>
      <w:r>
        <w:rPr>
          <w:rFonts w:ascii="Arial" w:eastAsia="Arial" w:hAnsi="Arial" w:cs="Arial"/>
          <w:sz w:val="20"/>
          <w:szCs w:val="20"/>
        </w:rPr>
        <w:t xml:space="preserve">To document standard processes and procedures for </w:t>
      </w:r>
      <w:r w:rsidR="001A2284">
        <w:rPr>
          <w:rFonts w:ascii="Arial" w:eastAsia="Arial" w:hAnsi="Arial" w:cs="Arial"/>
          <w:sz w:val="20"/>
          <w:szCs w:val="20"/>
        </w:rPr>
        <w:t>the electronic assignmen</w:t>
      </w:r>
      <w:r w:rsidR="00FD2A19">
        <w:rPr>
          <w:rFonts w:ascii="Arial" w:eastAsia="Arial" w:hAnsi="Arial" w:cs="Arial"/>
          <w:sz w:val="20"/>
          <w:szCs w:val="20"/>
        </w:rPr>
        <w:t xml:space="preserve">t, </w:t>
      </w:r>
      <w:r w:rsidR="00195A14">
        <w:rPr>
          <w:rFonts w:ascii="Arial" w:eastAsia="Arial" w:hAnsi="Arial" w:cs="Arial"/>
          <w:sz w:val="20"/>
          <w:szCs w:val="20"/>
        </w:rPr>
        <w:t>management</w:t>
      </w:r>
      <w:r w:rsidR="00FD2A19">
        <w:rPr>
          <w:rFonts w:ascii="Arial" w:eastAsia="Arial" w:hAnsi="Arial" w:cs="Arial"/>
          <w:sz w:val="20"/>
          <w:szCs w:val="20"/>
        </w:rPr>
        <w:t xml:space="preserve">, and acknowledgement </w:t>
      </w:r>
      <w:r w:rsidR="001A2284">
        <w:rPr>
          <w:rFonts w:ascii="Arial" w:eastAsia="Arial" w:hAnsi="Arial" w:cs="Arial"/>
          <w:sz w:val="20"/>
          <w:szCs w:val="20"/>
        </w:rPr>
        <w:t xml:space="preserve">of delegated </w:t>
      </w:r>
      <w:r w:rsidR="007F5087">
        <w:rPr>
          <w:rFonts w:ascii="Arial" w:eastAsia="Arial" w:hAnsi="Arial" w:cs="Arial"/>
          <w:sz w:val="20"/>
          <w:szCs w:val="20"/>
        </w:rPr>
        <w:t xml:space="preserve">trial-related duties </w:t>
      </w:r>
      <w:r w:rsidR="001A2284">
        <w:rPr>
          <w:rFonts w:ascii="Arial" w:eastAsia="Arial" w:hAnsi="Arial" w:cs="Arial"/>
          <w:sz w:val="20"/>
          <w:szCs w:val="20"/>
        </w:rPr>
        <w:t>at</w:t>
      </w:r>
      <w:r>
        <w:rPr>
          <w:rFonts w:ascii="Arial" w:eastAsia="Arial" w:hAnsi="Arial" w:cs="Arial"/>
          <w:sz w:val="20"/>
          <w:szCs w:val="20"/>
        </w:rPr>
        <w:t xml:space="preserve"> [SITE NAME]</w:t>
      </w:r>
      <w:r w:rsidR="00195A14">
        <w:rPr>
          <w:rFonts w:ascii="Arial" w:eastAsia="Arial" w:hAnsi="Arial" w:cs="Arial"/>
          <w:sz w:val="20"/>
          <w:szCs w:val="20"/>
        </w:rPr>
        <w:t>.</w:t>
      </w:r>
    </w:p>
    <w:p w14:paraId="534FDA4E" w14:textId="77777777" w:rsidR="005C2D9E" w:rsidRDefault="00272C2D">
      <w:pPr>
        <w:spacing w:after="0" w:line="240" w:lineRule="auto"/>
        <w:rPr>
          <w:rFonts w:ascii="Arial" w:eastAsia="Arial" w:hAnsi="Arial" w:cs="Arial"/>
          <w:b/>
          <w:sz w:val="20"/>
          <w:szCs w:val="20"/>
        </w:rPr>
      </w:pPr>
      <w:r>
        <w:rPr>
          <w:rFonts w:ascii="Arial" w:eastAsia="Arial" w:hAnsi="Arial" w:cs="Arial"/>
          <w:b/>
          <w:sz w:val="20"/>
          <w:szCs w:val="20"/>
        </w:rPr>
        <w:t>Scope:</w:t>
      </w:r>
    </w:p>
    <w:p w14:paraId="534FDA4F" w14:textId="77777777" w:rsidR="005C2D9E" w:rsidRDefault="005C2D9E">
      <w:pPr>
        <w:spacing w:after="0" w:line="240" w:lineRule="auto"/>
        <w:rPr>
          <w:rFonts w:ascii="Arial" w:eastAsia="Arial" w:hAnsi="Arial" w:cs="Arial"/>
          <w:b/>
          <w:sz w:val="20"/>
          <w:szCs w:val="20"/>
        </w:rPr>
      </w:pPr>
    </w:p>
    <w:p w14:paraId="534FDA50" w14:textId="392FB160" w:rsidR="005C2D9E" w:rsidRDefault="00272C2D">
      <w:pPr>
        <w:spacing w:after="0" w:line="240" w:lineRule="auto"/>
        <w:ind w:left="720"/>
        <w:rPr>
          <w:rFonts w:ascii="Arial" w:eastAsia="Arial" w:hAnsi="Arial" w:cs="Arial"/>
          <w:sz w:val="20"/>
          <w:szCs w:val="20"/>
        </w:rPr>
      </w:pPr>
      <w:r>
        <w:rPr>
          <w:rFonts w:ascii="Arial" w:eastAsia="Arial" w:hAnsi="Arial" w:cs="Arial"/>
          <w:sz w:val="20"/>
          <w:szCs w:val="20"/>
        </w:rPr>
        <w:t xml:space="preserve">This procedure applies to the </w:t>
      </w:r>
      <w:r w:rsidR="001A2284">
        <w:rPr>
          <w:rFonts w:ascii="Arial" w:eastAsia="Arial" w:hAnsi="Arial" w:cs="Arial"/>
          <w:sz w:val="20"/>
          <w:szCs w:val="20"/>
        </w:rPr>
        <w:t>electronic assignment, management</w:t>
      </w:r>
      <w:r w:rsidR="00773C70">
        <w:rPr>
          <w:rFonts w:ascii="Arial" w:eastAsia="Arial" w:hAnsi="Arial" w:cs="Arial"/>
          <w:sz w:val="20"/>
          <w:szCs w:val="20"/>
        </w:rPr>
        <w:t>,</w:t>
      </w:r>
      <w:r w:rsidR="001A2284">
        <w:rPr>
          <w:rFonts w:ascii="Arial" w:eastAsia="Arial" w:hAnsi="Arial" w:cs="Arial"/>
          <w:sz w:val="20"/>
          <w:szCs w:val="20"/>
        </w:rPr>
        <w:t xml:space="preserve"> and acknowledgement of </w:t>
      </w:r>
      <w:r w:rsidR="00773C70">
        <w:rPr>
          <w:rFonts w:ascii="Arial" w:eastAsia="Arial" w:hAnsi="Arial" w:cs="Arial"/>
          <w:sz w:val="20"/>
          <w:szCs w:val="20"/>
        </w:rPr>
        <w:t>trial-related duties by an investigator</w:t>
      </w:r>
      <w:r>
        <w:rPr>
          <w:rFonts w:ascii="Arial" w:eastAsia="Arial" w:hAnsi="Arial" w:cs="Arial"/>
          <w:sz w:val="20"/>
          <w:szCs w:val="20"/>
        </w:rPr>
        <w:t xml:space="preserve"> at [SITE NAME]. </w:t>
      </w:r>
      <w:r>
        <w:rPr>
          <w:rFonts w:ascii="Arial" w:eastAsia="Arial" w:hAnsi="Arial" w:cs="Arial"/>
          <w:sz w:val="20"/>
          <w:szCs w:val="20"/>
        </w:rPr>
        <w:br/>
      </w:r>
    </w:p>
    <w:p w14:paraId="534FDA51" w14:textId="56834F53" w:rsidR="005C2D9E" w:rsidRDefault="00A72C90">
      <w:pPr>
        <w:spacing w:after="0" w:line="240" w:lineRule="auto"/>
        <w:ind w:left="720"/>
        <w:rPr>
          <w:rFonts w:ascii="Arial" w:eastAsia="Arial" w:hAnsi="Arial" w:cs="Arial"/>
          <w:sz w:val="20"/>
          <w:szCs w:val="20"/>
        </w:rPr>
      </w:pPr>
      <w:r>
        <w:rPr>
          <w:rFonts w:ascii="Arial" w:eastAsia="Arial" w:hAnsi="Arial" w:cs="Arial"/>
          <w:sz w:val="20"/>
          <w:szCs w:val="20"/>
        </w:rPr>
        <w:t>Use of a</w:t>
      </w:r>
      <w:r w:rsidR="008C6785">
        <w:rPr>
          <w:rFonts w:ascii="Arial" w:eastAsia="Arial" w:hAnsi="Arial" w:cs="Arial"/>
          <w:sz w:val="20"/>
          <w:szCs w:val="20"/>
        </w:rPr>
        <w:t>n</w:t>
      </w:r>
      <w:r>
        <w:rPr>
          <w:rFonts w:ascii="Arial" w:eastAsia="Arial" w:hAnsi="Arial" w:cs="Arial"/>
          <w:sz w:val="20"/>
          <w:szCs w:val="20"/>
        </w:rPr>
        <w:t xml:space="preserve"> electronic system to </w:t>
      </w:r>
      <w:r w:rsidR="00F55E23">
        <w:rPr>
          <w:rFonts w:ascii="Arial" w:eastAsia="Arial" w:hAnsi="Arial" w:cs="Arial"/>
          <w:sz w:val="20"/>
          <w:szCs w:val="20"/>
        </w:rPr>
        <w:t>assign</w:t>
      </w:r>
      <w:r>
        <w:rPr>
          <w:rFonts w:ascii="Arial" w:eastAsia="Arial" w:hAnsi="Arial" w:cs="Arial"/>
          <w:sz w:val="20"/>
          <w:szCs w:val="20"/>
        </w:rPr>
        <w:t>, manage, acknowledge</w:t>
      </w:r>
      <w:r w:rsidR="00BD09DA">
        <w:rPr>
          <w:rFonts w:ascii="Arial" w:eastAsia="Arial" w:hAnsi="Arial" w:cs="Arial"/>
          <w:sz w:val="20"/>
          <w:szCs w:val="20"/>
        </w:rPr>
        <w:t>,</w:t>
      </w:r>
      <w:r>
        <w:rPr>
          <w:rFonts w:ascii="Arial" w:eastAsia="Arial" w:hAnsi="Arial" w:cs="Arial"/>
          <w:sz w:val="20"/>
          <w:szCs w:val="20"/>
        </w:rPr>
        <w:t xml:space="preserve"> and approve</w:t>
      </w:r>
      <w:r w:rsidR="001A2284">
        <w:rPr>
          <w:rFonts w:ascii="Arial" w:eastAsia="Arial" w:hAnsi="Arial" w:cs="Arial"/>
          <w:sz w:val="20"/>
          <w:szCs w:val="20"/>
        </w:rPr>
        <w:t xml:space="preserve"> </w:t>
      </w:r>
      <w:r w:rsidR="00CC450D">
        <w:rPr>
          <w:rFonts w:ascii="Arial" w:eastAsia="Arial" w:hAnsi="Arial" w:cs="Arial"/>
          <w:sz w:val="20"/>
          <w:szCs w:val="20"/>
        </w:rPr>
        <w:t>trial-related</w:t>
      </w:r>
      <w:r w:rsidR="001A2284">
        <w:rPr>
          <w:rFonts w:ascii="Arial" w:eastAsia="Arial" w:hAnsi="Arial" w:cs="Arial"/>
          <w:sz w:val="20"/>
          <w:szCs w:val="20"/>
        </w:rPr>
        <w:t xml:space="preserve"> duties</w:t>
      </w:r>
      <w:r w:rsidR="00272C2D">
        <w:rPr>
          <w:rFonts w:ascii="Arial" w:eastAsia="Arial" w:hAnsi="Arial" w:cs="Arial"/>
          <w:sz w:val="20"/>
          <w:szCs w:val="20"/>
        </w:rPr>
        <w:t xml:space="preserve"> </w:t>
      </w:r>
      <w:r w:rsidR="001D35FA">
        <w:rPr>
          <w:rFonts w:ascii="Arial" w:eastAsia="Arial" w:hAnsi="Arial" w:cs="Arial"/>
          <w:sz w:val="20"/>
          <w:szCs w:val="20"/>
        </w:rPr>
        <w:t>is an approved method for</w:t>
      </w:r>
      <w:r w:rsidR="00272C2D">
        <w:rPr>
          <w:rFonts w:ascii="Arial" w:eastAsia="Arial" w:hAnsi="Arial" w:cs="Arial"/>
          <w:sz w:val="20"/>
          <w:szCs w:val="20"/>
        </w:rPr>
        <w:t xml:space="preserve"> [SITE NAME] personnel </w:t>
      </w:r>
      <w:r w:rsidR="00592327">
        <w:rPr>
          <w:rFonts w:ascii="Arial" w:eastAsia="Arial" w:hAnsi="Arial" w:cs="Arial"/>
          <w:sz w:val="20"/>
          <w:szCs w:val="20"/>
        </w:rPr>
        <w:t>to use when conducting</w:t>
      </w:r>
      <w:r w:rsidR="001D35FA">
        <w:rPr>
          <w:rFonts w:ascii="Arial" w:eastAsia="Arial" w:hAnsi="Arial" w:cs="Arial"/>
          <w:sz w:val="20"/>
          <w:szCs w:val="20"/>
        </w:rPr>
        <w:t xml:space="preserve"> clinical research</w:t>
      </w:r>
      <w:r w:rsidR="001E3E78">
        <w:rPr>
          <w:rFonts w:ascii="Arial" w:eastAsia="Arial" w:hAnsi="Arial" w:cs="Arial"/>
          <w:sz w:val="20"/>
          <w:szCs w:val="20"/>
        </w:rPr>
        <w:t xml:space="preserve">.  [SITE NAME] </w:t>
      </w:r>
      <w:r w:rsidR="00CF2519">
        <w:rPr>
          <w:rFonts w:ascii="Arial" w:eastAsia="Arial" w:hAnsi="Arial" w:cs="Arial"/>
          <w:sz w:val="20"/>
          <w:szCs w:val="20"/>
        </w:rPr>
        <w:t>personnel</w:t>
      </w:r>
      <w:r w:rsidR="001E3E78">
        <w:rPr>
          <w:rFonts w:ascii="Arial" w:eastAsia="Arial" w:hAnsi="Arial" w:cs="Arial"/>
          <w:sz w:val="20"/>
          <w:szCs w:val="20"/>
        </w:rPr>
        <w:t xml:space="preserve"> in the role</w:t>
      </w:r>
      <w:r w:rsidR="00646341">
        <w:rPr>
          <w:rFonts w:ascii="Arial" w:eastAsia="Arial" w:hAnsi="Arial" w:cs="Arial"/>
          <w:sz w:val="20"/>
          <w:szCs w:val="20"/>
        </w:rPr>
        <w:t xml:space="preserve"> of Principal</w:t>
      </w:r>
      <w:r w:rsidR="001E3E78">
        <w:rPr>
          <w:rFonts w:ascii="Arial" w:eastAsia="Arial" w:hAnsi="Arial" w:cs="Arial"/>
          <w:sz w:val="20"/>
          <w:szCs w:val="20"/>
        </w:rPr>
        <w:t xml:space="preserve"> </w:t>
      </w:r>
      <w:r w:rsidR="00646341">
        <w:rPr>
          <w:rFonts w:ascii="Arial" w:eastAsia="Arial" w:hAnsi="Arial" w:cs="Arial"/>
          <w:sz w:val="20"/>
          <w:szCs w:val="20"/>
        </w:rPr>
        <w:t>I</w:t>
      </w:r>
      <w:r w:rsidR="00272C2D">
        <w:rPr>
          <w:rFonts w:ascii="Arial" w:eastAsia="Arial" w:hAnsi="Arial" w:cs="Arial"/>
          <w:sz w:val="20"/>
          <w:szCs w:val="20"/>
        </w:rPr>
        <w:t>nvestigator</w:t>
      </w:r>
      <w:r w:rsidR="00A414FF">
        <w:rPr>
          <w:rFonts w:ascii="Arial" w:eastAsia="Arial" w:hAnsi="Arial" w:cs="Arial"/>
          <w:sz w:val="20"/>
          <w:szCs w:val="20"/>
        </w:rPr>
        <w:t xml:space="preserve"> will </w:t>
      </w:r>
      <w:r w:rsidR="00F43C9B">
        <w:rPr>
          <w:rFonts w:ascii="Arial" w:eastAsia="Arial" w:hAnsi="Arial" w:cs="Arial"/>
          <w:sz w:val="20"/>
          <w:szCs w:val="20"/>
        </w:rPr>
        <w:t xml:space="preserve">record </w:t>
      </w:r>
      <w:r w:rsidR="00A414FF">
        <w:rPr>
          <w:rFonts w:ascii="Arial" w:eastAsia="Arial" w:hAnsi="Arial" w:cs="Arial"/>
          <w:sz w:val="20"/>
          <w:szCs w:val="20"/>
        </w:rPr>
        <w:t>delegat</w:t>
      </w:r>
      <w:r w:rsidR="008A64C4">
        <w:rPr>
          <w:rFonts w:ascii="Arial" w:eastAsia="Arial" w:hAnsi="Arial" w:cs="Arial"/>
          <w:sz w:val="20"/>
          <w:szCs w:val="20"/>
        </w:rPr>
        <w:t>ion of</w:t>
      </w:r>
      <w:r w:rsidR="00EA5912">
        <w:rPr>
          <w:rFonts w:ascii="Arial" w:eastAsia="Arial" w:hAnsi="Arial" w:cs="Arial"/>
          <w:sz w:val="20"/>
          <w:szCs w:val="20"/>
        </w:rPr>
        <w:t xml:space="preserve"> trial-related duties to site s</w:t>
      </w:r>
      <w:r w:rsidR="005B4059">
        <w:rPr>
          <w:rFonts w:ascii="Arial" w:eastAsia="Arial" w:hAnsi="Arial" w:cs="Arial"/>
          <w:sz w:val="20"/>
          <w:szCs w:val="20"/>
        </w:rPr>
        <w:t>taff</w:t>
      </w:r>
      <w:r w:rsidR="004578FE">
        <w:rPr>
          <w:rFonts w:ascii="Arial" w:eastAsia="Arial" w:hAnsi="Arial" w:cs="Arial"/>
          <w:sz w:val="20"/>
          <w:szCs w:val="20"/>
        </w:rPr>
        <w:t xml:space="preserve"> using a validated, electronic system</w:t>
      </w:r>
      <w:r w:rsidR="00D66039">
        <w:rPr>
          <w:rFonts w:ascii="Arial" w:eastAsia="Arial" w:hAnsi="Arial" w:cs="Arial"/>
          <w:sz w:val="20"/>
          <w:szCs w:val="20"/>
        </w:rPr>
        <w:t xml:space="preserve">. Site </w:t>
      </w:r>
      <w:r w:rsidR="00272C2D">
        <w:rPr>
          <w:rFonts w:ascii="Arial" w:eastAsia="Arial" w:hAnsi="Arial" w:cs="Arial"/>
          <w:sz w:val="20"/>
          <w:szCs w:val="20"/>
        </w:rPr>
        <w:t>administrative</w:t>
      </w:r>
      <w:r w:rsidR="009F7928">
        <w:rPr>
          <w:rFonts w:ascii="Arial" w:eastAsia="Arial" w:hAnsi="Arial" w:cs="Arial"/>
          <w:sz w:val="20"/>
          <w:szCs w:val="20"/>
        </w:rPr>
        <w:t>,</w:t>
      </w:r>
      <w:r w:rsidR="00272C2D">
        <w:rPr>
          <w:rFonts w:ascii="Arial" w:eastAsia="Arial" w:hAnsi="Arial" w:cs="Arial"/>
          <w:sz w:val="20"/>
          <w:szCs w:val="20"/>
        </w:rPr>
        <w:t xml:space="preserve"> operations</w:t>
      </w:r>
      <w:r w:rsidR="00D66039">
        <w:rPr>
          <w:rFonts w:ascii="Arial" w:eastAsia="Arial" w:hAnsi="Arial" w:cs="Arial"/>
          <w:sz w:val="20"/>
          <w:szCs w:val="20"/>
        </w:rPr>
        <w:t>, and clinical</w:t>
      </w:r>
      <w:r w:rsidR="00272C2D">
        <w:rPr>
          <w:rFonts w:ascii="Arial" w:eastAsia="Arial" w:hAnsi="Arial" w:cs="Arial"/>
          <w:sz w:val="20"/>
          <w:szCs w:val="20"/>
        </w:rPr>
        <w:t xml:space="preserve"> personnel</w:t>
      </w:r>
      <w:r w:rsidR="00CF2519">
        <w:rPr>
          <w:rFonts w:ascii="Arial" w:eastAsia="Arial" w:hAnsi="Arial" w:cs="Arial"/>
          <w:sz w:val="20"/>
          <w:szCs w:val="20"/>
        </w:rPr>
        <w:t xml:space="preserve"> will utilize a</w:t>
      </w:r>
      <w:r w:rsidR="00D66039">
        <w:rPr>
          <w:rFonts w:ascii="Arial" w:eastAsia="Arial" w:hAnsi="Arial" w:cs="Arial"/>
          <w:sz w:val="20"/>
          <w:szCs w:val="20"/>
        </w:rPr>
        <w:t xml:space="preserve"> validated</w:t>
      </w:r>
      <w:r w:rsidR="00CF2519">
        <w:rPr>
          <w:rFonts w:ascii="Arial" w:eastAsia="Arial" w:hAnsi="Arial" w:cs="Arial"/>
          <w:sz w:val="20"/>
          <w:szCs w:val="20"/>
        </w:rPr>
        <w:t xml:space="preserve"> electronic system</w:t>
      </w:r>
      <w:r w:rsidR="002C08BA">
        <w:rPr>
          <w:rFonts w:ascii="Arial" w:eastAsia="Arial" w:hAnsi="Arial" w:cs="Arial"/>
          <w:sz w:val="20"/>
          <w:szCs w:val="20"/>
        </w:rPr>
        <w:t xml:space="preserve"> (SiteVault)</w:t>
      </w:r>
      <w:r w:rsidR="00CF2519">
        <w:rPr>
          <w:rFonts w:ascii="Arial" w:eastAsia="Arial" w:hAnsi="Arial" w:cs="Arial"/>
          <w:sz w:val="20"/>
          <w:szCs w:val="20"/>
        </w:rPr>
        <w:t xml:space="preserve"> to</w:t>
      </w:r>
      <w:r w:rsidR="008A64C4">
        <w:rPr>
          <w:rFonts w:ascii="Arial" w:eastAsia="Arial" w:hAnsi="Arial" w:cs="Arial"/>
          <w:sz w:val="20"/>
          <w:szCs w:val="20"/>
        </w:rPr>
        <w:t xml:space="preserve"> record</w:t>
      </w:r>
      <w:r w:rsidR="006E3358">
        <w:rPr>
          <w:rFonts w:ascii="Arial" w:eastAsia="Arial" w:hAnsi="Arial" w:cs="Arial"/>
          <w:sz w:val="20"/>
          <w:szCs w:val="20"/>
        </w:rPr>
        <w:t>, sign</w:t>
      </w:r>
      <w:r w:rsidR="00271354">
        <w:rPr>
          <w:rFonts w:ascii="Arial" w:eastAsia="Arial" w:hAnsi="Arial" w:cs="Arial"/>
          <w:sz w:val="20"/>
          <w:szCs w:val="20"/>
        </w:rPr>
        <w:t>,</w:t>
      </w:r>
      <w:r w:rsidR="006E3358">
        <w:rPr>
          <w:rFonts w:ascii="Arial" w:eastAsia="Arial" w:hAnsi="Arial" w:cs="Arial"/>
          <w:sz w:val="20"/>
          <w:szCs w:val="20"/>
        </w:rPr>
        <w:t xml:space="preserve"> and acknowledge</w:t>
      </w:r>
      <w:r w:rsidR="00CF2519">
        <w:rPr>
          <w:rFonts w:ascii="Arial" w:eastAsia="Arial" w:hAnsi="Arial" w:cs="Arial"/>
          <w:sz w:val="20"/>
          <w:szCs w:val="20"/>
        </w:rPr>
        <w:t xml:space="preserve"> </w:t>
      </w:r>
      <w:r w:rsidR="009A0D02">
        <w:rPr>
          <w:rFonts w:ascii="Arial" w:eastAsia="Arial" w:hAnsi="Arial" w:cs="Arial"/>
          <w:sz w:val="20"/>
          <w:szCs w:val="20"/>
        </w:rPr>
        <w:t>delegated responsibilities</w:t>
      </w:r>
      <w:r w:rsidR="00521ED6">
        <w:rPr>
          <w:rFonts w:ascii="Arial" w:eastAsia="Arial" w:hAnsi="Arial" w:cs="Arial"/>
          <w:sz w:val="20"/>
          <w:szCs w:val="20"/>
        </w:rPr>
        <w:t xml:space="preserve"> from the Principal Investigator</w:t>
      </w:r>
      <w:r w:rsidR="00CF2519">
        <w:rPr>
          <w:rFonts w:ascii="Arial" w:eastAsia="Arial" w:hAnsi="Arial" w:cs="Arial"/>
          <w:sz w:val="20"/>
          <w:szCs w:val="20"/>
        </w:rPr>
        <w:t>.</w:t>
      </w:r>
    </w:p>
    <w:p w14:paraId="534FDA52" w14:textId="77777777" w:rsidR="005C2D9E" w:rsidRDefault="005C2D9E">
      <w:pPr>
        <w:spacing w:after="0" w:line="240" w:lineRule="auto"/>
        <w:ind w:left="720"/>
        <w:rPr>
          <w:rFonts w:ascii="Arial" w:eastAsia="Arial" w:hAnsi="Arial" w:cs="Arial"/>
          <w:sz w:val="20"/>
          <w:szCs w:val="20"/>
        </w:rPr>
      </w:pPr>
    </w:p>
    <w:p w14:paraId="534FDA53" w14:textId="77777777" w:rsidR="005C2D9E" w:rsidRDefault="00272C2D">
      <w:pPr>
        <w:spacing w:after="0" w:line="240" w:lineRule="auto"/>
        <w:rPr>
          <w:rFonts w:ascii="Arial" w:eastAsia="Arial" w:hAnsi="Arial" w:cs="Arial"/>
          <w:b/>
          <w:sz w:val="20"/>
          <w:szCs w:val="20"/>
        </w:rPr>
      </w:pPr>
      <w:r>
        <w:rPr>
          <w:rFonts w:ascii="Arial" w:eastAsia="Arial" w:hAnsi="Arial" w:cs="Arial"/>
          <w:b/>
          <w:sz w:val="20"/>
          <w:szCs w:val="20"/>
        </w:rPr>
        <w:t>Responsibility:</w:t>
      </w:r>
    </w:p>
    <w:p w14:paraId="534FDA54" w14:textId="77777777" w:rsidR="005C2D9E" w:rsidRDefault="005C2D9E">
      <w:pPr>
        <w:spacing w:after="0" w:line="240" w:lineRule="auto"/>
        <w:rPr>
          <w:rFonts w:ascii="Arial" w:eastAsia="Arial" w:hAnsi="Arial" w:cs="Arial"/>
          <w:b/>
          <w:sz w:val="20"/>
          <w:szCs w:val="20"/>
        </w:rPr>
      </w:pPr>
    </w:p>
    <w:p w14:paraId="534FDA55" w14:textId="77777777" w:rsidR="005C2D9E" w:rsidRDefault="00272C2D">
      <w:pPr>
        <w:ind w:left="720"/>
        <w:rPr>
          <w:rFonts w:ascii="Arial" w:eastAsia="Arial" w:hAnsi="Arial" w:cs="Arial"/>
          <w:color w:val="000000"/>
          <w:sz w:val="20"/>
          <w:szCs w:val="20"/>
        </w:rPr>
      </w:pPr>
      <w:r>
        <w:rPr>
          <w:rFonts w:ascii="Arial" w:eastAsia="Arial" w:hAnsi="Arial" w:cs="Arial"/>
          <w:sz w:val="20"/>
          <w:szCs w:val="20"/>
        </w:rPr>
        <w:t xml:space="preserve">[SITE NAME] personnel will be responsible </w:t>
      </w:r>
      <w:r>
        <w:rPr>
          <w:rFonts w:ascii="Arial" w:eastAsia="Arial" w:hAnsi="Arial" w:cs="Arial"/>
          <w:color w:val="000000"/>
          <w:sz w:val="20"/>
          <w:szCs w:val="20"/>
        </w:rPr>
        <w:t>for both performing and complying with this SOP and assuring the appropriate personnel are trained on this SOP.</w:t>
      </w:r>
    </w:p>
    <w:p w14:paraId="534FDA57" w14:textId="5C0E836E" w:rsidR="005C2D9E" w:rsidRPr="009A3D44" w:rsidRDefault="00272C2D">
      <w:pPr>
        <w:spacing w:after="0" w:line="240" w:lineRule="auto"/>
        <w:rPr>
          <w:rFonts w:ascii="Arial" w:eastAsia="Arial" w:hAnsi="Arial" w:cs="Arial"/>
          <w:sz w:val="20"/>
          <w:szCs w:val="20"/>
          <w:vertAlign w:val="superscript"/>
        </w:rPr>
      </w:pPr>
      <w:r>
        <w:rPr>
          <w:rFonts w:ascii="Arial" w:eastAsia="Arial" w:hAnsi="Arial" w:cs="Arial"/>
          <w:b/>
          <w:sz w:val="20"/>
          <w:szCs w:val="20"/>
        </w:rPr>
        <w:t>Definitions:</w:t>
      </w:r>
    </w:p>
    <w:p w14:paraId="534FDA59" w14:textId="77777777" w:rsidR="005C2D9E" w:rsidRDefault="005C2D9E">
      <w:pPr>
        <w:spacing w:after="0" w:line="240" w:lineRule="auto"/>
        <w:ind w:left="720"/>
        <w:rPr>
          <w:rFonts w:ascii="Arial" w:eastAsia="Arial" w:hAnsi="Arial" w:cs="Arial"/>
          <w:sz w:val="20"/>
          <w:szCs w:val="20"/>
          <w:u w:val="single"/>
        </w:rPr>
      </w:pPr>
    </w:p>
    <w:p w14:paraId="3CE67724" w14:textId="4EFC5D50" w:rsidR="001A2284" w:rsidRDefault="00385588">
      <w:pPr>
        <w:spacing w:after="0" w:line="240" w:lineRule="auto"/>
        <w:ind w:left="720"/>
        <w:rPr>
          <w:rFonts w:ascii="Arial" w:eastAsia="Arial" w:hAnsi="Arial" w:cs="Arial"/>
          <w:sz w:val="20"/>
          <w:szCs w:val="20"/>
          <w:u w:val="single"/>
        </w:rPr>
      </w:pPr>
      <w:r>
        <w:rPr>
          <w:rFonts w:ascii="Arial" w:eastAsia="Arial" w:hAnsi="Arial" w:cs="Arial"/>
          <w:sz w:val="20"/>
          <w:szCs w:val="20"/>
          <w:u w:val="single"/>
        </w:rPr>
        <w:t>DDL</w:t>
      </w:r>
      <w:r w:rsidR="001A2284" w:rsidRPr="001A2284">
        <w:rPr>
          <w:rFonts w:ascii="Arial" w:eastAsia="Arial" w:hAnsi="Arial" w:cs="Arial"/>
          <w:sz w:val="20"/>
          <w:szCs w:val="20"/>
        </w:rPr>
        <w:t xml:space="preserve">: </w:t>
      </w:r>
      <w:r>
        <w:rPr>
          <w:rFonts w:ascii="Arial" w:eastAsia="Arial" w:hAnsi="Arial" w:cs="Arial"/>
          <w:sz w:val="20"/>
          <w:szCs w:val="20"/>
        </w:rPr>
        <w:t>Digital</w:t>
      </w:r>
      <w:r w:rsidR="001A2284" w:rsidRPr="001A2284">
        <w:rPr>
          <w:rFonts w:ascii="Arial" w:eastAsia="Arial" w:hAnsi="Arial" w:cs="Arial"/>
          <w:sz w:val="20"/>
          <w:szCs w:val="20"/>
        </w:rPr>
        <w:t xml:space="preserve"> Delegation Log</w:t>
      </w:r>
      <w:r w:rsidR="001A2284" w:rsidRPr="001A2284">
        <w:rPr>
          <w:rFonts w:ascii="Arial" w:eastAsia="Arial" w:hAnsi="Arial" w:cs="Arial"/>
          <w:sz w:val="20"/>
          <w:szCs w:val="20"/>
          <w:u w:val="single"/>
        </w:rPr>
        <w:br/>
      </w:r>
    </w:p>
    <w:p w14:paraId="263EF082" w14:textId="77777777" w:rsidR="00670DC9" w:rsidRPr="00073EDD" w:rsidRDefault="00670DC9" w:rsidP="00670DC9">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eISF</w:t>
      </w:r>
      <w:r w:rsidRPr="00073EDD">
        <w:rPr>
          <w:rFonts w:ascii="Arial" w:eastAsia="Arial" w:hAnsi="Arial" w:cs="Arial"/>
          <w:sz w:val="20"/>
          <w:szCs w:val="20"/>
        </w:rPr>
        <w:t xml:space="preserve">: electronic Investigator Site File. The computer system used to house </w:t>
      </w:r>
      <w:r w:rsidRPr="00073EDD">
        <w:rPr>
          <w:rFonts w:ascii="Arial" w:eastAsia="Arial" w:hAnsi="Arial" w:cs="Arial"/>
          <w:sz w:val="20"/>
          <w:szCs w:val="20"/>
          <w:u w:val="single"/>
        </w:rPr>
        <w:t>Essential Documents</w:t>
      </w:r>
      <w:r w:rsidRPr="00073EDD">
        <w:rPr>
          <w:rFonts w:ascii="Arial" w:eastAsia="Arial" w:hAnsi="Arial" w:cs="Arial"/>
          <w:sz w:val="20"/>
          <w:szCs w:val="20"/>
        </w:rPr>
        <w:t xml:space="preserve"> required for the conduct of clinical research by the investigator.</w:t>
      </w:r>
    </w:p>
    <w:p w14:paraId="579D799A" w14:textId="77777777" w:rsidR="00670DC9" w:rsidRPr="00073EDD" w:rsidRDefault="00670DC9" w:rsidP="00670DC9">
      <w:pPr>
        <w:spacing w:after="0" w:line="240" w:lineRule="auto"/>
        <w:ind w:left="720"/>
        <w:rPr>
          <w:rFonts w:ascii="Arial" w:eastAsia="Arial" w:hAnsi="Arial" w:cs="Arial"/>
          <w:i/>
          <w:sz w:val="20"/>
          <w:szCs w:val="20"/>
        </w:rPr>
      </w:pPr>
    </w:p>
    <w:p w14:paraId="4F4EE2A2" w14:textId="6F1F6548" w:rsidR="00670DC9" w:rsidRDefault="00670DC9" w:rsidP="00670DC9">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Essential Documents</w:t>
      </w:r>
      <w:r w:rsidRPr="00073EDD">
        <w:rPr>
          <w:rFonts w:ascii="Arial" w:eastAsia="Arial" w:hAnsi="Arial" w:cs="Arial"/>
          <w:sz w:val="20"/>
          <w:szCs w:val="20"/>
        </w:rPr>
        <w:t>: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 Often referred to as regulatory documents</w:t>
      </w:r>
      <w:r w:rsidRPr="00073EDD">
        <w:rPr>
          <w:rStyle w:val="FootnoteReference"/>
          <w:rFonts w:ascii="Arial" w:eastAsia="Arial" w:hAnsi="Arial" w:cs="Arial"/>
          <w:sz w:val="20"/>
          <w:szCs w:val="20"/>
        </w:rPr>
        <w:footnoteReference w:id="1"/>
      </w:r>
      <w:r w:rsidRPr="00073EDD">
        <w:rPr>
          <w:rFonts w:ascii="Arial" w:eastAsia="Arial" w:hAnsi="Arial" w:cs="Arial"/>
          <w:sz w:val="20"/>
          <w:szCs w:val="20"/>
        </w:rPr>
        <w:t>.</w:t>
      </w:r>
    </w:p>
    <w:p w14:paraId="227D5B4B" w14:textId="28DEC681" w:rsidR="006E3358" w:rsidRDefault="006E3358" w:rsidP="00670DC9">
      <w:pPr>
        <w:spacing w:after="0" w:line="240" w:lineRule="auto"/>
        <w:ind w:left="720"/>
        <w:rPr>
          <w:rFonts w:ascii="Arial" w:eastAsia="Arial" w:hAnsi="Arial" w:cs="Arial"/>
          <w:sz w:val="20"/>
          <w:szCs w:val="20"/>
        </w:rPr>
      </w:pPr>
    </w:p>
    <w:p w14:paraId="5699C5C7" w14:textId="27717821" w:rsidR="00AA7884" w:rsidRPr="00AA7884" w:rsidRDefault="006E3358" w:rsidP="00AA7884">
      <w:pPr>
        <w:spacing w:after="0" w:line="240" w:lineRule="auto"/>
        <w:ind w:left="720"/>
        <w:rPr>
          <w:rFonts w:ascii="Arial" w:eastAsia="Arial" w:hAnsi="Arial" w:cs="Arial"/>
          <w:sz w:val="20"/>
          <w:szCs w:val="20"/>
        </w:rPr>
      </w:pPr>
      <w:r w:rsidRPr="006E3358">
        <w:rPr>
          <w:rFonts w:ascii="Arial" w:eastAsia="Arial" w:hAnsi="Arial" w:cs="Arial"/>
          <w:sz w:val="20"/>
          <w:szCs w:val="20"/>
          <w:u w:val="single"/>
        </w:rPr>
        <w:t>Investigator</w:t>
      </w:r>
      <w:r>
        <w:rPr>
          <w:rFonts w:ascii="Arial" w:eastAsia="Arial" w:hAnsi="Arial" w:cs="Arial"/>
          <w:sz w:val="20"/>
          <w:szCs w:val="20"/>
        </w:rPr>
        <w:t xml:space="preserve">: </w:t>
      </w:r>
      <w:r w:rsidR="00AA7884" w:rsidRPr="00AA7884">
        <w:rPr>
          <w:rFonts w:ascii="Arial" w:eastAsia="Arial" w:hAnsi="Arial" w:cs="Arial"/>
          <w:sz w:val="20"/>
          <w:szCs w:val="20"/>
        </w:rPr>
        <w:t>A person responsible for the conduct of the clinical trial at a trial site. If a trial is conducted by a team of individuals at a trial site, the investigator is the responsible leader of the team and may be called the principal investigator.</w:t>
      </w:r>
      <w:r w:rsidR="00AA7884">
        <w:rPr>
          <w:rFonts w:ascii="Arial" w:eastAsia="Arial" w:hAnsi="Arial" w:cs="Arial"/>
          <w:sz w:val="20"/>
          <w:szCs w:val="20"/>
        </w:rPr>
        <w:t xml:space="preserve"> (ICH-GCP</w:t>
      </w:r>
      <w:r w:rsidR="00D07418">
        <w:rPr>
          <w:rFonts w:ascii="Arial" w:eastAsia="Arial" w:hAnsi="Arial" w:cs="Arial"/>
          <w:sz w:val="20"/>
          <w:szCs w:val="20"/>
        </w:rPr>
        <w:t xml:space="preserve"> Glossary 1.34)</w:t>
      </w:r>
    </w:p>
    <w:p w14:paraId="42774AA0" w14:textId="77777777" w:rsidR="00DF7441" w:rsidRDefault="00DF7441" w:rsidP="00670DC9">
      <w:pPr>
        <w:spacing w:after="0" w:line="240" w:lineRule="auto"/>
        <w:ind w:left="720"/>
        <w:rPr>
          <w:rFonts w:ascii="Arial" w:eastAsia="Arial" w:hAnsi="Arial" w:cs="Arial"/>
          <w:sz w:val="20"/>
          <w:szCs w:val="20"/>
        </w:rPr>
      </w:pPr>
    </w:p>
    <w:p w14:paraId="7C9991A9" w14:textId="77777777" w:rsidR="00DF7441" w:rsidRPr="00073EDD" w:rsidRDefault="00DF7441" w:rsidP="00DF7441">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ISF</w:t>
      </w:r>
      <w:r w:rsidRPr="00073EDD">
        <w:rPr>
          <w:rFonts w:ascii="Arial" w:eastAsia="Arial" w:hAnsi="Arial" w:cs="Arial"/>
          <w:sz w:val="20"/>
          <w:szCs w:val="20"/>
        </w:rPr>
        <w:t>: Investigator Site File. The investigator site file includes all Essential Documents which individually and collectively permit evaluation of the conduct of a trial and the quality of the data produced by the investigator. These documents serve to demonstrate the compliance of the investigator with the standards of Good Clinical Practice and with all applicable regulatory requirements. The ISF does not include the full scope of Trial Master File documents which apply to the sponsor role in research.</w:t>
      </w:r>
    </w:p>
    <w:p w14:paraId="4696E794" w14:textId="77777777" w:rsidR="00670DC9" w:rsidRDefault="00670DC9" w:rsidP="009F7928">
      <w:pPr>
        <w:spacing w:after="0" w:line="240" w:lineRule="auto"/>
        <w:rPr>
          <w:rFonts w:ascii="Arial" w:eastAsia="Arial" w:hAnsi="Arial" w:cs="Arial"/>
          <w:sz w:val="20"/>
          <w:szCs w:val="20"/>
        </w:rPr>
      </w:pPr>
    </w:p>
    <w:p w14:paraId="534FDA5C" w14:textId="6E6BD17D" w:rsidR="005C2D9E" w:rsidRDefault="00A568C1" w:rsidP="00DD20A7">
      <w:pPr>
        <w:spacing w:after="0" w:line="240" w:lineRule="auto"/>
        <w:ind w:left="720"/>
        <w:rPr>
          <w:rFonts w:ascii="Arial" w:eastAsia="Arial" w:hAnsi="Arial" w:cs="Arial"/>
          <w:sz w:val="20"/>
          <w:szCs w:val="20"/>
        </w:rPr>
      </w:pPr>
      <w:r w:rsidRPr="00006452">
        <w:rPr>
          <w:rFonts w:ascii="Arial" w:eastAsia="Arial" w:hAnsi="Arial" w:cs="Arial"/>
          <w:sz w:val="20"/>
          <w:szCs w:val="20"/>
          <w:u w:val="single"/>
        </w:rPr>
        <w:t>Letter of Non-R</w:t>
      </w:r>
      <w:r w:rsidR="00006452" w:rsidRPr="00006452">
        <w:rPr>
          <w:rFonts w:ascii="Arial" w:eastAsia="Arial" w:hAnsi="Arial" w:cs="Arial"/>
          <w:sz w:val="20"/>
          <w:szCs w:val="20"/>
          <w:u w:val="single"/>
        </w:rPr>
        <w:t>epudiation</w:t>
      </w:r>
      <w:r w:rsidRPr="00006452">
        <w:rPr>
          <w:rFonts w:ascii="Arial" w:eastAsia="Arial" w:hAnsi="Arial" w:cs="Arial"/>
          <w:sz w:val="20"/>
          <w:szCs w:val="20"/>
          <w:u w:val="single"/>
        </w:rPr>
        <w:t xml:space="preserve"> Agreement</w:t>
      </w:r>
      <w:r w:rsidR="00006452">
        <w:rPr>
          <w:rFonts w:ascii="Arial" w:eastAsia="Arial" w:hAnsi="Arial" w:cs="Arial"/>
          <w:sz w:val="20"/>
          <w:szCs w:val="20"/>
          <w:u w:val="single"/>
        </w:rPr>
        <w:t>:</w:t>
      </w:r>
      <w:r w:rsidR="00006452" w:rsidRPr="00F34F54">
        <w:rPr>
          <w:rFonts w:ascii="Arial" w:eastAsia="Arial" w:hAnsi="Arial" w:cs="Arial"/>
          <w:sz w:val="20"/>
          <w:szCs w:val="20"/>
        </w:rPr>
        <w:t xml:space="preserve"> </w:t>
      </w:r>
      <w:r w:rsidR="00006452" w:rsidRPr="00006452">
        <w:rPr>
          <w:rFonts w:ascii="Arial" w:eastAsia="Arial" w:hAnsi="Arial" w:cs="Arial"/>
          <w:sz w:val="20"/>
          <w:szCs w:val="20"/>
        </w:rPr>
        <w:t xml:space="preserve">A letter of Non-Repudiation Agreement for digital signatures must be submitted to the FDA prior to registering as a transaction partner for the FDA </w:t>
      </w:r>
      <w:r w:rsidR="00006452" w:rsidRPr="00006452">
        <w:rPr>
          <w:rFonts w:ascii="Arial" w:eastAsia="Arial" w:hAnsi="Arial" w:cs="Arial"/>
          <w:sz w:val="20"/>
          <w:szCs w:val="20"/>
        </w:rPr>
        <w:lastRenderedPageBreak/>
        <w:t>ESG</w:t>
      </w:r>
      <w:r w:rsidR="002B4D87">
        <w:rPr>
          <w:rStyle w:val="FootnoteReference"/>
          <w:rFonts w:ascii="Arial" w:eastAsia="Arial" w:hAnsi="Arial" w:cs="Arial"/>
          <w:sz w:val="20"/>
          <w:szCs w:val="20"/>
        </w:rPr>
        <w:footnoteReference w:id="2"/>
      </w:r>
      <w:r w:rsidR="00D73BC3">
        <w:rPr>
          <w:rFonts w:ascii="Arial" w:eastAsia="Arial" w:hAnsi="Arial" w:cs="Arial"/>
          <w:sz w:val="20"/>
          <w:szCs w:val="20"/>
        </w:rPr>
        <w:t xml:space="preserve">. </w:t>
      </w:r>
      <w:r w:rsidR="00DD20A7" w:rsidRPr="00DD20A7">
        <w:rPr>
          <w:rFonts w:ascii="Arial" w:eastAsia="Arial" w:hAnsi="Arial" w:cs="Arial"/>
          <w:sz w:val="20"/>
          <w:szCs w:val="20"/>
        </w:rPr>
        <w:t>The letter must be submitted (preferably on company letterhead) and signed with a traditional handwritten signature.</w:t>
      </w:r>
    </w:p>
    <w:p w14:paraId="395094FB" w14:textId="77777777" w:rsidR="009A3D44" w:rsidRDefault="009A3D44" w:rsidP="00DD20A7">
      <w:pPr>
        <w:spacing w:after="0" w:line="240" w:lineRule="auto"/>
        <w:ind w:left="720"/>
        <w:rPr>
          <w:rFonts w:ascii="Arial" w:eastAsia="Arial" w:hAnsi="Arial" w:cs="Arial"/>
          <w:sz w:val="20"/>
          <w:szCs w:val="20"/>
        </w:rPr>
      </w:pPr>
    </w:p>
    <w:p w14:paraId="2B30F643" w14:textId="77777777" w:rsidR="009A3D44" w:rsidRPr="00073EDD" w:rsidRDefault="009A3D44" w:rsidP="009A3D44">
      <w:pPr>
        <w:spacing w:after="0" w:line="240" w:lineRule="auto"/>
        <w:ind w:left="720"/>
        <w:rPr>
          <w:rFonts w:ascii="Arial" w:eastAsia="Arial" w:hAnsi="Arial" w:cs="Arial"/>
          <w:sz w:val="20"/>
          <w:szCs w:val="20"/>
        </w:rPr>
      </w:pPr>
      <w:r w:rsidRPr="00F27AB3">
        <w:rPr>
          <w:rFonts w:ascii="Arial" w:eastAsia="Arial" w:hAnsi="Arial" w:cs="Arial"/>
          <w:sz w:val="20"/>
          <w:szCs w:val="20"/>
          <w:u w:val="single"/>
        </w:rPr>
        <w:t>Validation of Computer Systems</w:t>
      </w:r>
      <w:r>
        <w:rPr>
          <w:rFonts w:ascii="Arial" w:eastAsia="Arial" w:hAnsi="Arial" w:cs="Arial"/>
          <w:sz w:val="20"/>
          <w:szCs w:val="20"/>
        </w:rPr>
        <w:t xml:space="preserve">: </w:t>
      </w:r>
      <w:r w:rsidRPr="00F27AB3">
        <w:rPr>
          <w:rFonts w:ascii="Arial" w:eastAsia="Arial" w:hAnsi="Arial" w:cs="Arial"/>
          <w:sz w:val="20"/>
          <w:szCs w:val="20"/>
        </w:rPr>
        <w:t>A process of establishing and documenting that the specified requirements of a computerized</w:t>
      </w:r>
      <w:r>
        <w:rPr>
          <w:rFonts w:ascii="Arial" w:eastAsia="Arial" w:hAnsi="Arial" w:cs="Arial"/>
          <w:sz w:val="20"/>
          <w:szCs w:val="20"/>
        </w:rPr>
        <w:t xml:space="preserve"> </w:t>
      </w:r>
      <w:r w:rsidRPr="00F27AB3">
        <w:rPr>
          <w:rFonts w:ascii="Arial" w:eastAsia="Arial" w:hAnsi="Arial" w:cs="Arial"/>
          <w:sz w:val="20"/>
          <w:szCs w:val="20"/>
        </w:rPr>
        <w:t>system can be consistently fulfilled from design until decommissioning of the system or</w:t>
      </w:r>
      <w:r>
        <w:rPr>
          <w:rFonts w:ascii="Arial" w:eastAsia="Arial" w:hAnsi="Arial" w:cs="Arial"/>
          <w:sz w:val="20"/>
          <w:szCs w:val="20"/>
        </w:rPr>
        <w:t xml:space="preserve"> </w:t>
      </w:r>
      <w:r w:rsidRPr="00F27AB3">
        <w:rPr>
          <w:rFonts w:ascii="Arial" w:eastAsia="Arial" w:hAnsi="Arial" w:cs="Arial"/>
          <w:sz w:val="20"/>
          <w:szCs w:val="20"/>
        </w:rPr>
        <w:t>transition to a new system. The approach to validation should be based on a risk assessment that</w:t>
      </w:r>
      <w:r>
        <w:rPr>
          <w:rFonts w:ascii="Arial" w:eastAsia="Arial" w:hAnsi="Arial" w:cs="Arial"/>
          <w:sz w:val="20"/>
          <w:szCs w:val="20"/>
        </w:rPr>
        <w:t xml:space="preserve"> </w:t>
      </w:r>
      <w:r w:rsidRPr="00F27AB3">
        <w:rPr>
          <w:rFonts w:ascii="Arial" w:eastAsia="Arial" w:hAnsi="Arial" w:cs="Arial"/>
          <w:sz w:val="20"/>
          <w:szCs w:val="20"/>
        </w:rPr>
        <w:t>takes into consideration the intended use of the system and the potential of the system to affect</w:t>
      </w:r>
      <w:r>
        <w:rPr>
          <w:rFonts w:ascii="Arial" w:eastAsia="Arial" w:hAnsi="Arial" w:cs="Arial"/>
          <w:sz w:val="20"/>
          <w:szCs w:val="20"/>
        </w:rPr>
        <w:t xml:space="preserve"> </w:t>
      </w:r>
      <w:r w:rsidRPr="00F27AB3">
        <w:rPr>
          <w:rFonts w:ascii="Arial" w:eastAsia="Arial" w:hAnsi="Arial" w:cs="Arial"/>
          <w:sz w:val="20"/>
          <w:szCs w:val="20"/>
        </w:rPr>
        <w:t>human subject protection and reliability of trial results.</w:t>
      </w:r>
      <w:r>
        <w:rPr>
          <w:rStyle w:val="FootnoteReference"/>
          <w:rFonts w:ascii="Arial" w:eastAsia="Arial" w:hAnsi="Arial" w:cs="Arial"/>
          <w:sz w:val="20"/>
          <w:szCs w:val="20"/>
        </w:rPr>
        <w:footnoteReference w:id="3"/>
      </w:r>
    </w:p>
    <w:p w14:paraId="0A3266D5" w14:textId="77777777" w:rsidR="00DD20A7" w:rsidRDefault="00DD20A7" w:rsidP="00312323">
      <w:pPr>
        <w:spacing w:after="0" w:line="240" w:lineRule="auto"/>
        <w:rPr>
          <w:rFonts w:ascii="Arial" w:eastAsia="Arial" w:hAnsi="Arial" w:cs="Arial"/>
          <w:sz w:val="20"/>
          <w:szCs w:val="20"/>
        </w:rPr>
      </w:pPr>
    </w:p>
    <w:p w14:paraId="534FDA5D" w14:textId="77777777" w:rsidR="005C2D9E" w:rsidRDefault="00272C2D">
      <w:pPr>
        <w:spacing w:after="0" w:line="240" w:lineRule="auto"/>
        <w:rPr>
          <w:rFonts w:ascii="Arial" w:eastAsia="Arial" w:hAnsi="Arial" w:cs="Arial"/>
          <w:sz w:val="20"/>
          <w:szCs w:val="20"/>
        </w:rPr>
      </w:pPr>
      <w:r>
        <w:rPr>
          <w:rFonts w:ascii="Arial" w:eastAsia="Arial" w:hAnsi="Arial" w:cs="Arial"/>
          <w:b/>
          <w:sz w:val="20"/>
          <w:szCs w:val="20"/>
        </w:rPr>
        <w:t>Policy Statement</w:t>
      </w:r>
    </w:p>
    <w:p w14:paraId="534FDA5E" w14:textId="606E889A" w:rsidR="005C2D9E" w:rsidRDefault="00272C2D">
      <w:pPr>
        <w:spacing w:after="0" w:line="240" w:lineRule="auto"/>
        <w:ind w:lef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br/>
        <w:t xml:space="preserve">It is the policy of [SITE NAME] that </w:t>
      </w:r>
      <w:r w:rsidR="001A2284">
        <w:rPr>
          <w:rFonts w:ascii="Arial" w:eastAsia="Arial" w:hAnsi="Arial" w:cs="Arial"/>
          <w:sz w:val="20"/>
          <w:szCs w:val="20"/>
        </w:rPr>
        <w:t xml:space="preserve">an electronic system will be used </w:t>
      </w:r>
      <w:r w:rsidR="007A719E">
        <w:rPr>
          <w:rFonts w:ascii="Arial" w:eastAsia="Arial" w:hAnsi="Arial" w:cs="Arial"/>
          <w:sz w:val="20"/>
          <w:szCs w:val="20"/>
        </w:rPr>
        <w:t xml:space="preserve">to record the </w:t>
      </w:r>
      <w:r w:rsidR="001A2284">
        <w:rPr>
          <w:rFonts w:ascii="Arial" w:eastAsia="Arial" w:hAnsi="Arial" w:cs="Arial"/>
          <w:sz w:val="20"/>
          <w:szCs w:val="20"/>
        </w:rPr>
        <w:t xml:space="preserve">assignment, management, acknowledgment of delegated </w:t>
      </w:r>
      <w:r w:rsidR="00D10A94">
        <w:rPr>
          <w:rFonts w:ascii="Arial" w:eastAsia="Arial" w:hAnsi="Arial" w:cs="Arial"/>
          <w:sz w:val="20"/>
          <w:szCs w:val="20"/>
        </w:rPr>
        <w:t xml:space="preserve">trial-related duties and </w:t>
      </w:r>
      <w:r w:rsidR="005E191E">
        <w:rPr>
          <w:rFonts w:ascii="Arial" w:eastAsia="Arial" w:hAnsi="Arial" w:cs="Arial"/>
          <w:sz w:val="20"/>
          <w:szCs w:val="20"/>
        </w:rPr>
        <w:t>functions</w:t>
      </w:r>
      <w:r w:rsidR="001A2284">
        <w:rPr>
          <w:rFonts w:ascii="Arial" w:eastAsia="Arial" w:hAnsi="Arial" w:cs="Arial"/>
          <w:sz w:val="20"/>
          <w:szCs w:val="20"/>
        </w:rPr>
        <w:t xml:space="preserve"> in</w:t>
      </w:r>
      <w:r>
        <w:rPr>
          <w:rFonts w:ascii="Arial" w:eastAsia="Arial" w:hAnsi="Arial" w:cs="Arial"/>
          <w:sz w:val="20"/>
          <w:szCs w:val="20"/>
        </w:rPr>
        <w:t xml:space="preserve"> the conduct of research</w:t>
      </w:r>
      <w:r w:rsidR="009A3D44">
        <w:rPr>
          <w:rFonts w:ascii="Arial" w:eastAsia="Arial" w:hAnsi="Arial" w:cs="Arial"/>
          <w:sz w:val="20"/>
          <w:szCs w:val="20"/>
        </w:rPr>
        <w:t xml:space="preserve"> in accordance with ICH-GCP and FDA r</w:t>
      </w:r>
      <w:r w:rsidR="00CF3EEA">
        <w:rPr>
          <w:rFonts w:ascii="Arial" w:eastAsia="Arial" w:hAnsi="Arial" w:cs="Arial"/>
          <w:sz w:val="20"/>
          <w:szCs w:val="20"/>
        </w:rPr>
        <w:t xml:space="preserve">egulations allowing use of electronic </w:t>
      </w:r>
      <w:r w:rsidR="00D10A94">
        <w:rPr>
          <w:rFonts w:ascii="Arial" w:eastAsia="Arial" w:hAnsi="Arial" w:cs="Arial"/>
          <w:sz w:val="20"/>
          <w:szCs w:val="20"/>
        </w:rPr>
        <w:t xml:space="preserve">records and </w:t>
      </w:r>
      <w:r w:rsidR="00CF3EEA">
        <w:rPr>
          <w:rFonts w:ascii="Arial" w:eastAsia="Arial" w:hAnsi="Arial" w:cs="Arial"/>
          <w:sz w:val="20"/>
          <w:szCs w:val="20"/>
        </w:rPr>
        <w:t xml:space="preserve">signatures in clinical investigations. Veeva SiteVault is the </w:t>
      </w:r>
      <w:r w:rsidR="00F51F06">
        <w:rPr>
          <w:rFonts w:ascii="Arial" w:eastAsia="Arial" w:hAnsi="Arial" w:cs="Arial"/>
          <w:sz w:val="20"/>
          <w:szCs w:val="20"/>
        </w:rPr>
        <w:t xml:space="preserve">system used for electronic management of the Investigator Source File (ISF), electronic signature is </w:t>
      </w:r>
      <w:r w:rsidR="0028763B">
        <w:rPr>
          <w:rFonts w:ascii="Arial" w:eastAsia="Arial" w:hAnsi="Arial" w:cs="Arial"/>
          <w:sz w:val="20"/>
          <w:szCs w:val="20"/>
        </w:rPr>
        <w:t>validated in this system</w:t>
      </w:r>
      <w:r w:rsidR="00115E95">
        <w:rPr>
          <w:rFonts w:ascii="Arial" w:eastAsia="Arial" w:hAnsi="Arial" w:cs="Arial"/>
          <w:sz w:val="20"/>
          <w:szCs w:val="20"/>
        </w:rPr>
        <w:t xml:space="preserve"> at [SITE NAME]</w:t>
      </w:r>
      <w:r w:rsidR="0028763B">
        <w:rPr>
          <w:rFonts w:ascii="Arial" w:eastAsia="Arial" w:hAnsi="Arial" w:cs="Arial"/>
          <w:sz w:val="20"/>
          <w:szCs w:val="20"/>
        </w:rPr>
        <w:t>.</w:t>
      </w:r>
    </w:p>
    <w:p w14:paraId="534FDA5F" w14:textId="77777777" w:rsidR="005C2D9E" w:rsidRDefault="005C2D9E" w:rsidP="0008673A">
      <w:pPr>
        <w:spacing w:after="0" w:line="240" w:lineRule="auto"/>
        <w:rPr>
          <w:rFonts w:ascii="Arial" w:eastAsia="Arial" w:hAnsi="Arial" w:cs="Arial"/>
          <w:sz w:val="20"/>
          <w:szCs w:val="20"/>
        </w:rPr>
      </w:pPr>
    </w:p>
    <w:p w14:paraId="534FDA60" w14:textId="1D60B226" w:rsidR="005C2D9E" w:rsidRDefault="00272C2D">
      <w:pPr>
        <w:spacing w:after="0" w:line="240" w:lineRule="auto"/>
        <w:rPr>
          <w:rFonts w:ascii="Arial" w:eastAsia="Arial" w:hAnsi="Arial" w:cs="Arial"/>
          <w:b/>
          <w:sz w:val="20"/>
          <w:szCs w:val="20"/>
        </w:rPr>
      </w:pPr>
      <w:r>
        <w:rPr>
          <w:rFonts w:ascii="Arial" w:eastAsia="Arial" w:hAnsi="Arial" w:cs="Arial"/>
          <w:b/>
          <w:sz w:val="20"/>
          <w:szCs w:val="20"/>
        </w:rPr>
        <w:t>Compliance Statement</w:t>
      </w:r>
    </w:p>
    <w:p w14:paraId="219F2490" w14:textId="714A6A19" w:rsidR="0027174B" w:rsidRDefault="0027174B">
      <w:pPr>
        <w:spacing w:after="0" w:line="240" w:lineRule="auto"/>
        <w:rPr>
          <w:rFonts w:ascii="Arial" w:eastAsia="Arial" w:hAnsi="Arial" w:cs="Arial"/>
          <w:b/>
          <w:sz w:val="20"/>
          <w:szCs w:val="20"/>
        </w:rPr>
      </w:pPr>
    </w:p>
    <w:p w14:paraId="6339C1AA" w14:textId="7DB3AA72" w:rsidR="0027174B" w:rsidRDefault="0027174B" w:rsidP="0027174B">
      <w:pPr>
        <w:spacing w:after="0" w:line="240" w:lineRule="auto"/>
        <w:ind w:left="720"/>
        <w:rPr>
          <w:rFonts w:ascii="Arial" w:eastAsia="Arial" w:hAnsi="Arial" w:cs="Arial"/>
          <w:sz w:val="20"/>
          <w:szCs w:val="20"/>
        </w:rPr>
      </w:pPr>
      <w:r>
        <w:rPr>
          <w:rFonts w:ascii="Arial" w:eastAsia="Arial" w:hAnsi="Arial" w:cs="Arial"/>
          <w:sz w:val="20"/>
          <w:szCs w:val="20"/>
        </w:rPr>
        <w:t>A letter of Non-Repudiation Agreement has been filed with the FDA for [SITE NAME] on [DATE]</w:t>
      </w:r>
      <w:r w:rsidR="00D76746">
        <w:rPr>
          <w:rFonts w:ascii="Arial" w:eastAsia="Arial" w:hAnsi="Arial" w:cs="Arial"/>
          <w:sz w:val="20"/>
          <w:szCs w:val="20"/>
        </w:rPr>
        <w:t xml:space="preserve"> and can be found [LOCATION].</w:t>
      </w:r>
    </w:p>
    <w:p w14:paraId="534FDA61" w14:textId="77777777" w:rsidR="005C2D9E" w:rsidRDefault="005C2D9E" w:rsidP="0027174B">
      <w:pPr>
        <w:spacing w:after="0" w:line="240" w:lineRule="auto"/>
        <w:rPr>
          <w:rFonts w:ascii="Arial" w:eastAsia="Arial" w:hAnsi="Arial" w:cs="Arial"/>
          <w:b/>
          <w:sz w:val="20"/>
          <w:szCs w:val="20"/>
        </w:rPr>
      </w:pPr>
    </w:p>
    <w:p w14:paraId="534FDA63" w14:textId="10DBEE72" w:rsidR="005C2D9E" w:rsidRDefault="00272C2D" w:rsidP="00312323">
      <w:pPr>
        <w:spacing w:after="0" w:line="240" w:lineRule="auto"/>
        <w:ind w:left="720"/>
        <w:rPr>
          <w:rFonts w:ascii="Arial" w:eastAsia="Arial" w:hAnsi="Arial" w:cs="Arial"/>
          <w:sz w:val="20"/>
          <w:szCs w:val="20"/>
        </w:rPr>
      </w:pPr>
      <w:r>
        <w:rPr>
          <w:rFonts w:ascii="Arial" w:eastAsia="Arial" w:hAnsi="Arial" w:cs="Arial"/>
          <w:sz w:val="20"/>
          <w:szCs w:val="20"/>
        </w:rPr>
        <w:t>Veeva Vault has been validated by Veeva Systems in accordance with industry-standard validation guidelines and regulations (e.g. 21CFR820.75, 21CFR211.68, 21CFR11, EU Annex 11).</w:t>
      </w:r>
      <w:r w:rsidR="000B7161">
        <w:rPr>
          <w:rFonts w:ascii="Arial" w:eastAsia="Arial" w:hAnsi="Arial" w:cs="Arial"/>
          <w:sz w:val="20"/>
          <w:szCs w:val="20"/>
        </w:rPr>
        <w:t xml:space="preserve"> </w:t>
      </w:r>
      <w:r w:rsidR="000C6CB4">
        <w:rPr>
          <w:rFonts w:ascii="Arial" w:eastAsia="Arial" w:hAnsi="Arial" w:cs="Arial"/>
          <w:sz w:val="20"/>
          <w:szCs w:val="20"/>
        </w:rPr>
        <w:t>Computer Syste</w:t>
      </w:r>
      <w:r w:rsidR="0028763B">
        <w:rPr>
          <w:rFonts w:ascii="Arial" w:eastAsia="Arial" w:hAnsi="Arial" w:cs="Arial"/>
          <w:sz w:val="20"/>
          <w:szCs w:val="20"/>
        </w:rPr>
        <w:t>m</w:t>
      </w:r>
      <w:r w:rsidR="000C6CB4">
        <w:rPr>
          <w:rFonts w:ascii="Arial" w:eastAsia="Arial" w:hAnsi="Arial" w:cs="Arial"/>
          <w:sz w:val="20"/>
          <w:szCs w:val="20"/>
        </w:rPr>
        <w:t xml:space="preserve"> Validation</w:t>
      </w:r>
      <w:r w:rsidR="0027174B">
        <w:rPr>
          <w:rFonts w:ascii="Arial" w:eastAsia="Arial" w:hAnsi="Arial" w:cs="Arial"/>
          <w:sz w:val="20"/>
          <w:szCs w:val="20"/>
        </w:rPr>
        <w:t xml:space="preserve"> </w:t>
      </w:r>
      <w:r w:rsidR="000C6CB4">
        <w:rPr>
          <w:rFonts w:ascii="Arial" w:eastAsia="Arial" w:hAnsi="Arial" w:cs="Arial"/>
          <w:sz w:val="20"/>
          <w:szCs w:val="20"/>
        </w:rPr>
        <w:t>(CSV) documentation</w:t>
      </w:r>
      <w:r w:rsidR="009F7052">
        <w:rPr>
          <w:rFonts w:ascii="Arial" w:eastAsia="Arial" w:hAnsi="Arial" w:cs="Arial"/>
          <w:sz w:val="20"/>
          <w:szCs w:val="20"/>
        </w:rPr>
        <w:t xml:space="preserve"> for SiteVault</w:t>
      </w:r>
      <w:r w:rsidR="005F137C">
        <w:rPr>
          <w:rFonts w:ascii="Arial" w:eastAsia="Arial" w:hAnsi="Arial" w:cs="Arial"/>
          <w:sz w:val="20"/>
          <w:szCs w:val="20"/>
        </w:rPr>
        <w:t xml:space="preserve"> is available</w:t>
      </w:r>
      <w:r w:rsidR="009F7052">
        <w:rPr>
          <w:rFonts w:ascii="Arial" w:eastAsia="Arial" w:hAnsi="Arial" w:cs="Arial"/>
          <w:sz w:val="20"/>
          <w:szCs w:val="20"/>
        </w:rPr>
        <w:t xml:space="preserve"> with each re</w:t>
      </w:r>
      <w:r w:rsidR="00DC78D3">
        <w:rPr>
          <w:rFonts w:ascii="Arial" w:eastAsia="Arial" w:hAnsi="Arial" w:cs="Arial"/>
          <w:sz w:val="20"/>
          <w:szCs w:val="20"/>
        </w:rPr>
        <w:t>lease</w:t>
      </w:r>
      <w:r w:rsidR="00312323">
        <w:rPr>
          <w:rFonts w:ascii="Arial" w:eastAsia="Arial" w:hAnsi="Arial" w:cs="Arial"/>
          <w:sz w:val="20"/>
          <w:szCs w:val="20"/>
        </w:rPr>
        <w:t>.</w:t>
      </w:r>
    </w:p>
    <w:p w14:paraId="60575451" w14:textId="114A9D84" w:rsidR="007F5087" w:rsidRDefault="007F5087" w:rsidP="00312323">
      <w:pPr>
        <w:spacing w:after="0" w:line="240" w:lineRule="auto"/>
        <w:ind w:left="720"/>
        <w:rPr>
          <w:rFonts w:ascii="Arial" w:eastAsia="Arial" w:hAnsi="Arial" w:cs="Arial"/>
          <w:sz w:val="20"/>
          <w:szCs w:val="20"/>
        </w:rPr>
      </w:pPr>
    </w:p>
    <w:p w14:paraId="76898E9E" w14:textId="4FB426A9" w:rsidR="007F5087" w:rsidRDefault="00CE21F9" w:rsidP="007F5087">
      <w:pPr>
        <w:spacing w:after="0" w:line="240" w:lineRule="auto"/>
        <w:rPr>
          <w:rFonts w:ascii="Arial" w:eastAsia="Arial" w:hAnsi="Arial" w:cs="Arial"/>
          <w:b/>
          <w:bCs/>
          <w:sz w:val="20"/>
          <w:szCs w:val="20"/>
        </w:rPr>
      </w:pPr>
      <w:r>
        <w:rPr>
          <w:rFonts w:ascii="Arial" w:eastAsia="Arial" w:hAnsi="Arial" w:cs="Arial"/>
          <w:b/>
          <w:bCs/>
          <w:sz w:val="20"/>
          <w:szCs w:val="20"/>
        </w:rPr>
        <w:t>ICH-GCP</w:t>
      </w:r>
      <w:r w:rsidR="00AD4434">
        <w:rPr>
          <w:rFonts w:ascii="Arial" w:eastAsia="Arial" w:hAnsi="Arial" w:cs="Arial"/>
          <w:b/>
          <w:bCs/>
          <w:sz w:val="20"/>
          <w:szCs w:val="20"/>
        </w:rPr>
        <w:t xml:space="preserve"> </w:t>
      </w:r>
      <w:r w:rsidR="007F5087" w:rsidRPr="007F5087">
        <w:rPr>
          <w:rFonts w:ascii="Arial" w:eastAsia="Arial" w:hAnsi="Arial" w:cs="Arial"/>
          <w:b/>
          <w:bCs/>
          <w:sz w:val="20"/>
          <w:szCs w:val="20"/>
        </w:rPr>
        <w:t>Delegation of Authority</w:t>
      </w:r>
      <w:r w:rsidR="00044458">
        <w:rPr>
          <w:rFonts w:ascii="Arial" w:eastAsia="Arial" w:hAnsi="Arial" w:cs="Arial"/>
          <w:b/>
          <w:bCs/>
          <w:sz w:val="20"/>
          <w:szCs w:val="20"/>
        </w:rPr>
        <w:t xml:space="preserve"> </w:t>
      </w:r>
      <w:r w:rsidR="00C6419F">
        <w:rPr>
          <w:rFonts w:ascii="Arial" w:eastAsia="Arial" w:hAnsi="Arial" w:cs="Arial"/>
          <w:b/>
          <w:bCs/>
          <w:sz w:val="20"/>
          <w:szCs w:val="20"/>
        </w:rPr>
        <w:t>Requirements</w:t>
      </w:r>
    </w:p>
    <w:p w14:paraId="11974DA7" w14:textId="748AB923" w:rsidR="007F5087" w:rsidRDefault="007F5087" w:rsidP="007F5087">
      <w:pPr>
        <w:spacing w:after="0" w:line="240" w:lineRule="auto"/>
        <w:rPr>
          <w:rFonts w:ascii="Arial" w:eastAsia="Arial" w:hAnsi="Arial" w:cs="Arial"/>
          <w:b/>
          <w:bCs/>
          <w:sz w:val="20"/>
          <w:szCs w:val="20"/>
        </w:rPr>
      </w:pPr>
    </w:p>
    <w:p w14:paraId="62F0106E" w14:textId="79416D1D" w:rsidR="00B73F6B" w:rsidRPr="00B73F6B" w:rsidRDefault="00B73F6B" w:rsidP="00B73F6B">
      <w:pPr>
        <w:spacing w:after="0" w:line="240" w:lineRule="auto"/>
        <w:ind w:left="720"/>
        <w:rPr>
          <w:rFonts w:ascii="Arial" w:eastAsia="Arial" w:hAnsi="Arial" w:cs="Arial"/>
          <w:b/>
          <w:bCs/>
          <w:sz w:val="20"/>
          <w:szCs w:val="20"/>
        </w:rPr>
      </w:pPr>
      <w:r w:rsidRPr="00B73F6B">
        <w:rPr>
          <w:rFonts w:ascii="Arial" w:eastAsia="Arial" w:hAnsi="Arial" w:cs="Arial"/>
          <w:b/>
          <w:bCs/>
          <w:sz w:val="20"/>
          <w:szCs w:val="20"/>
        </w:rPr>
        <w:t xml:space="preserve">ICH-GCP E6, R2, </w:t>
      </w:r>
      <w:r w:rsidR="00122641">
        <w:rPr>
          <w:rFonts w:ascii="Arial" w:eastAsia="Arial" w:hAnsi="Arial" w:cs="Arial"/>
          <w:b/>
          <w:bCs/>
          <w:sz w:val="20"/>
          <w:szCs w:val="20"/>
        </w:rPr>
        <w:t xml:space="preserve">4. Investigator. </w:t>
      </w:r>
      <w:r w:rsidRPr="00B73F6B">
        <w:rPr>
          <w:rFonts w:ascii="Arial" w:eastAsia="Arial" w:hAnsi="Arial" w:cs="Arial"/>
          <w:b/>
          <w:bCs/>
          <w:sz w:val="20"/>
          <w:szCs w:val="20"/>
        </w:rPr>
        <w:t xml:space="preserve"> </w:t>
      </w:r>
    </w:p>
    <w:p w14:paraId="653F18B8" w14:textId="7D53A088" w:rsidR="00B73F6B" w:rsidRDefault="00B73F6B" w:rsidP="00B73F6B">
      <w:pPr>
        <w:spacing w:after="0" w:line="240" w:lineRule="auto"/>
        <w:ind w:left="720"/>
        <w:rPr>
          <w:rFonts w:ascii="Arial" w:eastAsia="Arial" w:hAnsi="Arial" w:cs="Arial"/>
          <w:sz w:val="20"/>
          <w:szCs w:val="20"/>
        </w:rPr>
      </w:pPr>
      <w:r w:rsidRPr="00B73F6B">
        <w:rPr>
          <w:rFonts w:ascii="Arial" w:eastAsia="Arial" w:hAnsi="Arial" w:cs="Arial"/>
          <w:b/>
          <w:bCs/>
          <w:i/>
          <w:iCs/>
          <w:sz w:val="20"/>
          <w:szCs w:val="20"/>
        </w:rPr>
        <w:t>4.1.5</w:t>
      </w:r>
      <w:r w:rsidRPr="00B73F6B">
        <w:rPr>
          <w:rFonts w:ascii="Arial" w:eastAsia="Arial" w:hAnsi="Arial" w:cs="Arial"/>
          <w:sz w:val="20"/>
          <w:szCs w:val="20"/>
        </w:rPr>
        <w:t> The investigator should maintain a list of appropriately qualified persons to whom the investigator has delegated significant trial-related duties.</w:t>
      </w:r>
      <w:r w:rsidR="002D72A1">
        <w:rPr>
          <w:rFonts w:ascii="Arial" w:eastAsia="Arial" w:hAnsi="Arial" w:cs="Arial"/>
          <w:sz w:val="20"/>
          <w:szCs w:val="20"/>
        </w:rPr>
        <w:br/>
      </w:r>
    </w:p>
    <w:p w14:paraId="4B4C7C8E" w14:textId="48E14FCA" w:rsidR="00B73F6B" w:rsidRDefault="00122641" w:rsidP="00400250">
      <w:pPr>
        <w:spacing w:after="0" w:line="240" w:lineRule="auto"/>
        <w:ind w:left="720"/>
        <w:rPr>
          <w:rFonts w:ascii="Arial" w:eastAsia="Arial" w:hAnsi="Arial" w:cs="Arial"/>
          <w:sz w:val="20"/>
          <w:szCs w:val="20"/>
        </w:rPr>
      </w:pPr>
      <w:r w:rsidRPr="00122641">
        <w:rPr>
          <w:rFonts w:ascii="Arial" w:eastAsia="Arial" w:hAnsi="Arial" w:cs="Arial"/>
          <w:b/>
          <w:bCs/>
          <w:i/>
          <w:iCs/>
          <w:sz w:val="20"/>
          <w:szCs w:val="20"/>
        </w:rPr>
        <w:t>4.2.4</w:t>
      </w:r>
      <w:r w:rsidRPr="00122641">
        <w:rPr>
          <w:rFonts w:ascii="Arial" w:eastAsia="Arial" w:hAnsi="Arial" w:cs="Arial"/>
          <w:sz w:val="20"/>
          <w:szCs w:val="20"/>
        </w:rPr>
        <w:t> The investigator should ensure that all persons assisting with the trial are adequately informed about the protocol, the investigational product(s), and their trial-related duties and functions.</w:t>
      </w:r>
    </w:p>
    <w:p w14:paraId="2466C4BA" w14:textId="77777777" w:rsidR="00B73F6B" w:rsidRDefault="00B73F6B" w:rsidP="00084208">
      <w:pPr>
        <w:spacing w:after="0" w:line="240" w:lineRule="auto"/>
        <w:ind w:left="720"/>
        <w:rPr>
          <w:rFonts w:ascii="Arial" w:eastAsia="Arial" w:hAnsi="Arial" w:cs="Arial"/>
          <w:sz w:val="20"/>
          <w:szCs w:val="20"/>
        </w:rPr>
      </w:pPr>
    </w:p>
    <w:p w14:paraId="08ED59C5" w14:textId="50533D62" w:rsidR="007F5087" w:rsidRPr="00B73F6B" w:rsidRDefault="00084208" w:rsidP="00084208">
      <w:pPr>
        <w:spacing w:after="0" w:line="240" w:lineRule="auto"/>
        <w:ind w:left="720"/>
        <w:rPr>
          <w:rFonts w:ascii="Arial" w:eastAsia="Arial" w:hAnsi="Arial" w:cs="Arial"/>
          <w:b/>
          <w:bCs/>
          <w:sz w:val="20"/>
          <w:szCs w:val="20"/>
        </w:rPr>
      </w:pPr>
      <w:r w:rsidRPr="00B73F6B">
        <w:rPr>
          <w:rFonts w:ascii="Arial" w:eastAsia="Arial" w:hAnsi="Arial" w:cs="Arial"/>
          <w:b/>
          <w:bCs/>
          <w:sz w:val="20"/>
          <w:szCs w:val="20"/>
        </w:rPr>
        <w:t>ICH-GCP E6, R2, Addendum, 4.2.5</w:t>
      </w:r>
      <w:r w:rsidR="007969BC" w:rsidRPr="00B73F6B">
        <w:rPr>
          <w:rFonts w:ascii="Arial" w:eastAsia="Arial" w:hAnsi="Arial" w:cs="Arial"/>
          <w:b/>
          <w:bCs/>
          <w:sz w:val="20"/>
          <w:szCs w:val="20"/>
        </w:rPr>
        <w:t xml:space="preserve">-6 </w:t>
      </w:r>
    </w:p>
    <w:p w14:paraId="06E01387" w14:textId="08F8F251" w:rsidR="00367CA5" w:rsidRPr="00DB1B3D" w:rsidRDefault="00367CA5" w:rsidP="00367CA5">
      <w:pPr>
        <w:spacing w:after="0" w:line="240" w:lineRule="auto"/>
        <w:ind w:left="720"/>
        <w:rPr>
          <w:rFonts w:ascii="Arial" w:eastAsia="Arial" w:hAnsi="Arial" w:cs="Arial"/>
          <w:sz w:val="20"/>
          <w:szCs w:val="20"/>
        </w:rPr>
      </w:pPr>
      <w:r w:rsidRPr="00DB1B3D">
        <w:rPr>
          <w:rFonts w:ascii="Arial" w:eastAsia="Arial" w:hAnsi="Arial" w:cs="Arial"/>
          <w:b/>
          <w:bCs/>
          <w:sz w:val="20"/>
          <w:szCs w:val="20"/>
        </w:rPr>
        <w:t>4.2.5</w:t>
      </w:r>
      <w:r w:rsidRPr="00DB1B3D">
        <w:rPr>
          <w:rFonts w:ascii="Arial" w:eastAsia="Arial" w:hAnsi="Arial" w:cs="Arial"/>
          <w:sz w:val="20"/>
          <w:szCs w:val="20"/>
        </w:rPr>
        <w:t> The investigator is responsible for supervising any individual or party to whom the investigator delegates trial-related duties and functions conducted at the trial site.</w:t>
      </w:r>
    </w:p>
    <w:p w14:paraId="5174BF1A" w14:textId="77777777" w:rsidR="00086E59" w:rsidRPr="00DB1B3D" w:rsidRDefault="00086E59" w:rsidP="00367CA5">
      <w:pPr>
        <w:spacing w:after="0" w:line="240" w:lineRule="auto"/>
        <w:ind w:left="720"/>
        <w:rPr>
          <w:rFonts w:ascii="Arial" w:eastAsia="Arial" w:hAnsi="Arial" w:cs="Arial"/>
          <w:sz w:val="20"/>
          <w:szCs w:val="20"/>
        </w:rPr>
      </w:pPr>
    </w:p>
    <w:p w14:paraId="534FDA6A" w14:textId="2E1F9B5D" w:rsidR="005C2D9E" w:rsidRPr="00DB1B3D" w:rsidRDefault="00367CA5" w:rsidP="00B55531">
      <w:pPr>
        <w:spacing w:after="0" w:line="240" w:lineRule="auto"/>
        <w:ind w:left="720"/>
        <w:rPr>
          <w:rFonts w:ascii="Arial" w:eastAsia="Arial" w:hAnsi="Arial" w:cs="Arial"/>
          <w:sz w:val="20"/>
          <w:szCs w:val="20"/>
        </w:rPr>
      </w:pPr>
      <w:r w:rsidRPr="00DB1B3D">
        <w:rPr>
          <w:rFonts w:ascii="Arial" w:eastAsia="Arial" w:hAnsi="Arial" w:cs="Arial"/>
          <w:b/>
          <w:bCs/>
          <w:sz w:val="20"/>
          <w:szCs w:val="20"/>
        </w:rPr>
        <w:t>4.2.6</w:t>
      </w:r>
      <w:r w:rsidRPr="00DB1B3D">
        <w:rPr>
          <w:rFonts w:ascii="Arial" w:eastAsia="Arial" w:hAnsi="Arial" w:cs="Arial"/>
          <w:sz w:val="20"/>
          <w:szCs w:val="20"/>
        </w:rPr>
        <w:t> If the investigator/institution retains the services of any individual or party to perform trial-related duties and functions, the investigator/institution should ensure this individual or party is qualified to perform those trial-related duties and functions and should implement procedures to ensure the integrity of the trial-related duties and functions performed and any data generated</w:t>
      </w:r>
    </w:p>
    <w:p w14:paraId="534FDA79" w14:textId="77777777" w:rsidR="005C2D9E" w:rsidRDefault="005C2D9E">
      <w:pPr>
        <w:spacing w:after="0" w:line="240" w:lineRule="auto"/>
        <w:rPr>
          <w:rFonts w:ascii="Arial" w:eastAsia="Arial" w:hAnsi="Arial" w:cs="Arial"/>
          <w:sz w:val="20"/>
          <w:szCs w:val="20"/>
        </w:rPr>
      </w:pPr>
    </w:p>
    <w:p w14:paraId="534FDA7A" w14:textId="77777777" w:rsidR="005C2D9E" w:rsidRDefault="00272C2D">
      <w:pPr>
        <w:spacing w:after="0" w:line="240" w:lineRule="auto"/>
        <w:rPr>
          <w:rFonts w:ascii="Arial" w:eastAsia="Arial" w:hAnsi="Arial" w:cs="Arial"/>
          <w:b/>
          <w:sz w:val="20"/>
          <w:szCs w:val="20"/>
        </w:rPr>
      </w:pPr>
      <w:r>
        <w:rPr>
          <w:rFonts w:ascii="Arial" w:eastAsia="Arial" w:hAnsi="Arial" w:cs="Arial"/>
          <w:b/>
          <w:sz w:val="20"/>
          <w:szCs w:val="20"/>
        </w:rPr>
        <w:t>Procedures:</w:t>
      </w:r>
    </w:p>
    <w:p w14:paraId="534FDA7B" w14:textId="77777777" w:rsidR="005C2D9E" w:rsidRDefault="005C2D9E">
      <w:pPr>
        <w:spacing w:after="0" w:line="240" w:lineRule="auto"/>
        <w:rPr>
          <w:rFonts w:ascii="Arial" w:eastAsia="Arial" w:hAnsi="Arial" w:cs="Arial"/>
          <w:b/>
          <w:sz w:val="20"/>
          <w:szCs w:val="20"/>
        </w:rPr>
      </w:pPr>
    </w:p>
    <w:p w14:paraId="534FDA7C" w14:textId="485335ED" w:rsidR="005C2D9E" w:rsidRDefault="00DB1B3D" w:rsidP="007D04D6">
      <w:pPr>
        <w:spacing w:after="0" w:line="240" w:lineRule="auto"/>
        <w:ind w:left="720"/>
        <w:rPr>
          <w:rFonts w:ascii="Arial" w:eastAsia="Arial" w:hAnsi="Arial" w:cs="Arial"/>
          <w:sz w:val="20"/>
          <w:szCs w:val="20"/>
        </w:rPr>
      </w:pPr>
      <w:r>
        <w:rPr>
          <w:rFonts w:ascii="Arial" w:eastAsia="Arial" w:hAnsi="Arial" w:cs="Arial"/>
          <w:sz w:val="20"/>
          <w:szCs w:val="20"/>
        </w:rPr>
        <w:t xml:space="preserve">[SITE NAME] uses </w:t>
      </w:r>
      <w:r w:rsidR="00F57E04">
        <w:rPr>
          <w:rFonts w:ascii="Arial" w:eastAsia="Arial" w:hAnsi="Arial" w:cs="Arial"/>
          <w:sz w:val="20"/>
          <w:szCs w:val="20"/>
        </w:rPr>
        <w:t xml:space="preserve">an </w:t>
      </w:r>
      <w:r w:rsidR="00D76746">
        <w:rPr>
          <w:rFonts w:ascii="Arial" w:eastAsia="Arial" w:hAnsi="Arial" w:cs="Arial"/>
          <w:sz w:val="20"/>
          <w:szCs w:val="20"/>
        </w:rPr>
        <w:t>eISF</w:t>
      </w:r>
      <w:r w:rsidR="00F57E04">
        <w:rPr>
          <w:rFonts w:ascii="Arial" w:eastAsia="Arial" w:hAnsi="Arial" w:cs="Arial"/>
          <w:sz w:val="20"/>
          <w:szCs w:val="20"/>
        </w:rPr>
        <w:t xml:space="preserve">, </w:t>
      </w:r>
      <w:r w:rsidR="009C4028">
        <w:rPr>
          <w:rFonts w:ascii="Arial" w:eastAsia="Arial" w:hAnsi="Arial" w:cs="Arial"/>
          <w:sz w:val="20"/>
          <w:szCs w:val="20"/>
        </w:rPr>
        <w:t>Veeva SiteVault</w:t>
      </w:r>
      <w:r w:rsidR="00D76746">
        <w:rPr>
          <w:rFonts w:ascii="Arial" w:eastAsia="Arial" w:hAnsi="Arial" w:cs="Arial"/>
          <w:sz w:val="20"/>
          <w:szCs w:val="20"/>
        </w:rPr>
        <w:t>,</w:t>
      </w:r>
      <w:r w:rsidR="002B1667">
        <w:rPr>
          <w:rFonts w:ascii="Arial" w:eastAsia="Arial" w:hAnsi="Arial" w:cs="Arial"/>
          <w:sz w:val="20"/>
          <w:szCs w:val="20"/>
        </w:rPr>
        <w:t xml:space="preserve"> </w:t>
      </w:r>
      <w:r w:rsidR="00F57E04">
        <w:rPr>
          <w:rFonts w:ascii="Arial" w:eastAsia="Arial" w:hAnsi="Arial" w:cs="Arial"/>
          <w:sz w:val="20"/>
          <w:szCs w:val="20"/>
        </w:rPr>
        <w:t>to record, document</w:t>
      </w:r>
      <w:r w:rsidR="00486B62">
        <w:rPr>
          <w:rFonts w:ascii="Arial" w:eastAsia="Arial" w:hAnsi="Arial" w:cs="Arial"/>
          <w:sz w:val="20"/>
          <w:szCs w:val="20"/>
        </w:rPr>
        <w:t>,</w:t>
      </w:r>
      <w:r w:rsidR="00F57E04">
        <w:rPr>
          <w:rFonts w:ascii="Arial" w:eastAsia="Arial" w:hAnsi="Arial" w:cs="Arial"/>
          <w:sz w:val="20"/>
          <w:szCs w:val="20"/>
        </w:rPr>
        <w:t xml:space="preserve"> and track</w:t>
      </w:r>
      <w:r w:rsidR="00782DDE">
        <w:rPr>
          <w:rFonts w:ascii="Arial" w:eastAsia="Arial" w:hAnsi="Arial" w:cs="Arial"/>
          <w:sz w:val="20"/>
          <w:szCs w:val="20"/>
        </w:rPr>
        <w:t xml:space="preserve"> delegation of trial-related tasks.</w:t>
      </w:r>
      <w:r w:rsidR="0080612B">
        <w:rPr>
          <w:rFonts w:ascii="Arial" w:eastAsia="Arial" w:hAnsi="Arial" w:cs="Arial"/>
          <w:sz w:val="20"/>
          <w:szCs w:val="20"/>
        </w:rPr>
        <w:t xml:space="preserve"> </w:t>
      </w:r>
      <w:r w:rsidR="00C81CF6">
        <w:rPr>
          <w:rFonts w:ascii="Arial" w:eastAsia="Arial" w:hAnsi="Arial" w:cs="Arial"/>
          <w:sz w:val="20"/>
          <w:szCs w:val="20"/>
        </w:rPr>
        <w:t xml:space="preserve">Tasks are maintained </w:t>
      </w:r>
      <w:r w:rsidR="00A937FA">
        <w:rPr>
          <w:rFonts w:ascii="Arial" w:eastAsia="Arial" w:hAnsi="Arial" w:cs="Arial"/>
          <w:sz w:val="20"/>
          <w:szCs w:val="20"/>
        </w:rPr>
        <w:t xml:space="preserve">electronically </w:t>
      </w:r>
      <w:r w:rsidR="00C81CF6">
        <w:rPr>
          <w:rFonts w:ascii="Arial" w:eastAsia="Arial" w:hAnsi="Arial" w:cs="Arial"/>
          <w:sz w:val="20"/>
          <w:szCs w:val="20"/>
        </w:rPr>
        <w:t xml:space="preserve">at the </w:t>
      </w:r>
      <w:r w:rsidR="009810C5">
        <w:rPr>
          <w:rFonts w:ascii="Arial" w:eastAsia="Arial" w:hAnsi="Arial" w:cs="Arial"/>
          <w:sz w:val="20"/>
          <w:szCs w:val="20"/>
        </w:rPr>
        <w:t xml:space="preserve">organization, site, or study level and assigned to study team members based on </w:t>
      </w:r>
      <w:r w:rsidR="00081873">
        <w:rPr>
          <w:rFonts w:ascii="Arial" w:eastAsia="Arial" w:hAnsi="Arial" w:cs="Arial"/>
          <w:sz w:val="20"/>
          <w:szCs w:val="20"/>
        </w:rPr>
        <w:t xml:space="preserve">requirements of the study and under oversight of the investigator. Electronic </w:t>
      </w:r>
      <w:r w:rsidR="00A973E4">
        <w:rPr>
          <w:rFonts w:ascii="Arial" w:eastAsia="Arial" w:hAnsi="Arial" w:cs="Arial"/>
          <w:sz w:val="20"/>
          <w:szCs w:val="20"/>
        </w:rPr>
        <w:t xml:space="preserve">acknowledgment of trial-related duties is reviewed and acknowledged by both the delegate and the </w:t>
      </w:r>
      <w:r w:rsidR="005E1F2F">
        <w:rPr>
          <w:rFonts w:ascii="Arial" w:eastAsia="Arial" w:hAnsi="Arial" w:cs="Arial"/>
          <w:sz w:val="20"/>
          <w:szCs w:val="20"/>
        </w:rPr>
        <w:t xml:space="preserve">investigator </w:t>
      </w:r>
      <w:r w:rsidR="00C22C1A">
        <w:rPr>
          <w:rFonts w:ascii="Arial" w:eastAsia="Arial" w:hAnsi="Arial" w:cs="Arial"/>
          <w:sz w:val="20"/>
          <w:szCs w:val="20"/>
        </w:rPr>
        <w:t xml:space="preserve">in accordance with ICH-GCP and FDA regulations. </w:t>
      </w:r>
      <w:r w:rsidR="00272C2D">
        <w:rPr>
          <w:rFonts w:ascii="Arial" w:eastAsia="Arial" w:hAnsi="Arial" w:cs="Arial"/>
          <w:sz w:val="20"/>
          <w:szCs w:val="20"/>
        </w:rPr>
        <w:lastRenderedPageBreak/>
        <w:t xml:space="preserve">Signatures, approvals, or acknowledgement of documents by </w:t>
      </w:r>
      <w:r w:rsidR="00486B62">
        <w:rPr>
          <w:rFonts w:ascii="Arial" w:eastAsia="Arial" w:hAnsi="Arial" w:cs="Arial"/>
          <w:sz w:val="20"/>
          <w:szCs w:val="20"/>
        </w:rPr>
        <w:t>[SITE NAME]</w:t>
      </w:r>
      <w:r w:rsidR="009F1702">
        <w:rPr>
          <w:rFonts w:ascii="Arial" w:eastAsia="Arial" w:hAnsi="Arial" w:cs="Arial"/>
          <w:sz w:val="20"/>
          <w:szCs w:val="20"/>
        </w:rPr>
        <w:t xml:space="preserve"> personnel </w:t>
      </w:r>
      <w:r w:rsidR="00272C2D">
        <w:rPr>
          <w:rFonts w:ascii="Arial" w:eastAsia="Arial" w:hAnsi="Arial" w:cs="Arial"/>
          <w:sz w:val="20"/>
          <w:szCs w:val="20"/>
        </w:rPr>
        <w:t xml:space="preserve">will be collected in the system as described in the </w:t>
      </w:r>
      <w:r w:rsidR="009F1702">
        <w:rPr>
          <w:rFonts w:ascii="Arial" w:eastAsia="Arial" w:hAnsi="Arial" w:cs="Arial"/>
          <w:sz w:val="20"/>
          <w:szCs w:val="20"/>
        </w:rPr>
        <w:t xml:space="preserve">Veeva Vault </w:t>
      </w:r>
      <w:r w:rsidR="00272C2D">
        <w:rPr>
          <w:rFonts w:ascii="Arial" w:eastAsia="Arial" w:hAnsi="Arial" w:cs="Arial"/>
          <w:sz w:val="20"/>
          <w:szCs w:val="20"/>
        </w:rPr>
        <w:t>User Requirement Specifications and Validation documents and in compliance with 21 C</w:t>
      </w:r>
      <w:r w:rsidR="002B1667">
        <w:rPr>
          <w:rFonts w:ascii="Arial" w:eastAsia="Arial" w:hAnsi="Arial" w:cs="Arial"/>
          <w:sz w:val="20"/>
          <w:szCs w:val="20"/>
        </w:rPr>
        <w:t>FR, P</w:t>
      </w:r>
      <w:r w:rsidR="00272C2D">
        <w:rPr>
          <w:rFonts w:ascii="Arial" w:eastAsia="Arial" w:hAnsi="Arial" w:cs="Arial"/>
          <w:sz w:val="20"/>
          <w:szCs w:val="20"/>
        </w:rPr>
        <w:t>art 11.</w:t>
      </w:r>
      <w:r w:rsidR="00D76746">
        <w:rPr>
          <w:rFonts w:ascii="Arial" w:eastAsia="Arial" w:hAnsi="Arial" w:cs="Arial"/>
          <w:sz w:val="20"/>
          <w:szCs w:val="20"/>
        </w:rPr>
        <w:t xml:space="preserve"> </w:t>
      </w:r>
      <w:r w:rsidR="00D76746" w:rsidRPr="00D76746">
        <w:rPr>
          <w:rFonts w:ascii="Arial" w:eastAsia="Arial" w:hAnsi="Arial" w:cs="Arial"/>
          <w:sz w:val="20"/>
          <w:szCs w:val="20"/>
        </w:rPr>
        <w:t xml:space="preserve">Study monitors and auditors can be given access to the original source </w:t>
      </w:r>
      <w:r w:rsidR="001E345D">
        <w:rPr>
          <w:rFonts w:ascii="Arial" w:eastAsia="Arial" w:hAnsi="Arial" w:cs="Arial"/>
          <w:sz w:val="20"/>
          <w:szCs w:val="20"/>
        </w:rPr>
        <w:t>d</w:t>
      </w:r>
      <w:r w:rsidR="00D76746" w:rsidRPr="00D76746">
        <w:rPr>
          <w:rFonts w:ascii="Arial" w:eastAsia="Arial" w:hAnsi="Arial" w:cs="Arial"/>
          <w:sz w:val="20"/>
          <w:szCs w:val="20"/>
        </w:rPr>
        <w:t xml:space="preserve">elegation log in </w:t>
      </w:r>
      <w:r w:rsidR="00D76746">
        <w:rPr>
          <w:rFonts w:ascii="Arial" w:eastAsia="Arial" w:hAnsi="Arial" w:cs="Arial"/>
          <w:sz w:val="20"/>
          <w:szCs w:val="20"/>
        </w:rPr>
        <w:t xml:space="preserve">the eISF. </w:t>
      </w:r>
    </w:p>
    <w:p w14:paraId="534FDA7D" w14:textId="77777777" w:rsidR="005C2D9E" w:rsidRDefault="005C2D9E">
      <w:pPr>
        <w:spacing w:after="0" w:line="240" w:lineRule="auto"/>
        <w:rPr>
          <w:rFonts w:ascii="Arial" w:eastAsia="Arial" w:hAnsi="Arial" w:cs="Arial"/>
          <w:color w:val="434343"/>
          <w:sz w:val="20"/>
          <w:szCs w:val="20"/>
        </w:rPr>
      </w:pPr>
    </w:p>
    <w:p w14:paraId="3AF97A8B" w14:textId="77777777" w:rsidR="00007C8F" w:rsidRPr="00073EDD" w:rsidRDefault="00007C8F" w:rsidP="00007C8F">
      <w:pPr>
        <w:spacing w:after="0" w:line="240" w:lineRule="auto"/>
        <w:rPr>
          <w:rFonts w:ascii="Arial" w:eastAsia="Arial" w:hAnsi="Arial" w:cs="Arial"/>
          <w:b/>
          <w:sz w:val="20"/>
          <w:szCs w:val="20"/>
        </w:rPr>
      </w:pPr>
      <w:r w:rsidRPr="00073EDD">
        <w:rPr>
          <w:rFonts w:ascii="Arial" w:eastAsia="Arial" w:hAnsi="Arial" w:cs="Arial"/>
          <w:b/>
          <w:sz w:val="20"/>
          <w:szCs w:val="20"/>
        </w:rPr>
        <w:t>References</w:t>
      </w:r>
    </w:p>
    <w:p w14:paraId="0FDF0535" w14:textId="77777777" w:rsidR="00007C8F" w:rsidRPr="00073EDD" w:rsidRDefault="00007C8F" w:rsidP="00007C8F">
      <w:pPr>
        <w:spacing w:after="0" w:line="240" w:lineRule="auto"/>
        <w:rPr>
          <w:rFonts w:ascii="Arial" w:eastAsia="Arial" w:hAnsi="Arial" w:cs="Arial"/>
          <w:sz w:val="20"/>
          <w:szCs w:val="20"/>
        </w:rPr>
      </w:pPr>
    </w:p>
    <w:p w14:paraId="79D78C81" w14:textId="77777777" w:rsidR="00007C8F" w:rsidRDefault="00007C8F" w:rsidP="00007C8F">
      <w:pPr>
        <w:numPr>
          <w:ilvl w:val="0"/>
          <w:numId w:val="4"/>
        </w:numPr>
        <w:spacing w:after="0" w:line="240" w:lineRule="auto"/>
        <w:rPr>
          <w:rFonts w:ascii="Arial" w:eastAsia="Arial" w:hAnsi="Arial" w:cs="Arial"/>
          <w:sz w:val="20"/>
          <w:szCs w:val="20"/>
        </w:rPr>
      </w:pPr>
      <w:r w:rsidRPr="00073EDD">
        <w:rPr>
          <w:rFonts w:ascii="Arial" w:eastAsia="Arial" w:hAnsi="Arial" w:cs="Arial"/>
          <w:sz w:val="20"/>
          <w:szCs w:val="20"/>
        </w:rPr>
        <w:t>ICH E6</w:t>
      </w:r>
      <w:r>
        <w:rPr>
          <w:rFonts w:ascii="Arial" w:eastAsia="Arial" w:hAnsi="Arial" w:cs="Arial"/>
          <w:sz w:val="20"/>
          <w:szCs w:val="20"/>
        </w:rPr>
        <w:t xml:space="preserve"> (R2)</w:t>
      </w:r>
      <w:r w:rsidRPr="00073EDD">
        <w:rPr>
          <w:rFonts w:ascii="Arial" w:eastAsia="Arial" w:hAnsi="Arial" w:cs="Arial"/>
          <w:sz w:val="20"/>
          <w:szCs w:val="20"/>
        </w:rPr>
        <w:t>: Harmonized Tripartite Guideline for Good Clinical Practice</w:t>
      </w:r>
      <w:r>
        <w:rPr>
          <w:rFonts w:ascii="Arial" w:eastAsia="Arial" w:hAnsi="Arial" w:cs="Arial"/>
          <w:sz w:val="20"/>
          <w:szCs w:val="20"/>
        </w:rPr>
        <w:t xml:space="preserve"> </w:t>
      </w:r>
      <w:hyperlink r:id="rId11" w:history="1">
        <w:r w:rsidRPr="005E0919">
          <w:rPr>
            <w:rStyle w:val="Hyperlink"/>
            <w:rFonts w:ascii="Arial" w:eastAsia="Arial" w:hAnsi="Arial" w:cs="Arial"/>
            <w:sz w:val="20"/>
            <w:szCs w:val="20"/>
          </w:rPr>
          <w:t>(link)</w:t>
        </w:r>
      </w:hyperlink>
    </w:p>
    <w:p w14:paraId="5D36314A" w14:textId="77777777" w:rsidR="00007C8F" w:rsidRDefault="00007C8F" w:rsidP="00007C8F">
      <w:pPr>
        <w:numPr>
          <w:ilvl w:val="0"/>
          <w:numId w:val="4"/>
        </w:numPr>
        <w:spacing w:after="0" w:line="240" w:lineRule="auto"/>
        <w:rPr>
          <w:rFonts w:ascii="Arial" w:eastAsia="Arial" w:hAnsi="Arial" w:cs="Arial"/>
          <w:sz w:val="20"/>
          <w:szCs w:val="20"/>
        </w:rPr>
      </w:pPr>
      <w:r w:rsidRPr="00141FE8">
        <w:rPr>
          <w:rFonts w:ascii="Arial" w:eastAsia="Arial" w:hAnsi="Arial" w:cs="Arial"/>
          <w:sz w:val="20"/>
          <w:szCs w:val="20"/>
        </w:rPr>
        <w:t>FDA</w:t>
      </w:r>
      <w:r>
        <w:rPr>
          <w:rFonts w:ascii="Arial" w:eastAsia="Arial" w:hAnsi="Arial" w:cs="Arial"/>
          <w:sz w:val="20"/>
          <w:szCs w:val="20"/>
        </w:rPr>
        <w:t xml:space="preserve"> E6(R2) Good Clinical Practice: Integrated Addendum to ICH E6(R1) </w:t>
      </w:r>
      <w:hyperlink r:id="rId12" w:history="1">
        <w:r w:rsidRPr="00A942F7">
          <w:rPr>
            <w:rStyle w:val="Hyperlink"/>
            <w:rFonts w:ascii="Arial" w:eastAsia="Arial" w:hAnsi="Arial" w:cs="Arial"/>
            <w:sz w:val="20"/>
            <w:szCs w:val="20"/>
          </w:rPr>
          <w:t>(link)</w:t>
        </w:r>
      </w:hyperlink>
    </w:p>
    <w:p w14:paraId="030DCA9D" w14:textId="77777777" w:rsidR="00007C8F" w:rsidRDefault="00007C8F" w:rsidP="00007C8F">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FDA Guidance for Industry: Computerized Systems Used in Clinical Investigations, 2007 </w:t>
      </w:r>
      <w:hyperlink r:id="rId13" w:history="1">
        <w:r w:rsidRPr="00817271">
          <w:rPr>
            <w:rStyle w:val="Hyperlink"/>
            <w:rFonts w:ascii="Arial" w:eastAsia="Arial" w:hAnsi="Arial" w:cs="Arial"/>
            <w:sz w:val="20"/>
            <w:szCs w:val="20"/>
          </w:rPr>
          <w:t>(link)</w:t>
        </w:r>
      </w:hyperlink>
    </w:p>
    <w:p w14:paraId="43229DA3" w14:textId="77777777" w:rsidR="00007C8F" w:rsidRPr="00141FE8" w:rsidRDefault="00007C8F" w:rsidP="00007C8F">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FDA Guidance for Industry: Electronic Source Data in Clinical Investigations, 2013 </w:t>
      </w:r>
      <w:hyperlink r:id="rId14" w:history="1">
        <w:r w:rsidRPr="005F2BBF">
          <w:rPr>
            <w:rStyle w:val="Hyperlink"/>
            <w:rFonts w:ascii="Arial" w:eastAsia="Arial" w:hAnsi="Arial" w:cs="Arial"/>
            <w:sz w:val="20"/>
            <w:szCs w:val="20"/>
          </w:rPr>
          <w:t>(link)</w:t>
        </w:r>
      </w:hyperlink>
    </w:p>
    <w:p w14:paraId="22063D54" w14:textId="77777777" w:rsidR="00007C8F" w:rsidRDefault="00007C8F" w:rsidP="00007C8F">
      <w:pPr>
        <w:numPr>
          <w:ilvl w:val="0"/>
          <w:numId w:val="3"/>
        </w:numPr>
        <w:shd w:val="clear" w:color="auto" w:fill="FFFFFF"/>
        <w:spacing w:after="0" w:line="240" w:lineRule="auto"/>
        <w:rPr>
          <w:rFonts w:ascii="Arial" w:eastAsia="Arial" w:hAnsi="Arial" w:cs="Arial"/>
          <w:color w:val="000000" w:themeColor="text1"/>
          <w:sz w:val="20"/>
          <w:szCs w:val="20"/>
        </w:rPr>
      </w:pPr>
      <w:r w:rsidRPr="00102230">
        <w:rPr>
          <w:rFonts w:ascii="Arial" w:eastAsia="Arial" w:hAnsi="Arial" w:cs="Arial"/>
          <w:color w:val="000000" w:themeColor="text1"/>
          <w:sz w:val="20"/>
          <w:szCs w:val="20"/>
        </w:rPr>
        <w:t xml:space="preserve">FDA Part 11, Electronic Records; Electronic Signatures - Scope and Application, 2003 </w:t>
      </w:r>
      <w:hyperlink r:id="rId15" w:history="1">
        <w:r w:rsidRPr="00102230">
          <w:rPr>
            <w:rStyle w:val="Hyperlink"/>
            <w:rFonts w:ascii="Arial" w:eastAsia="Arial" w:hAnsi="Arial" w:cs="Arial"/>
            <w:color w:val="000000" w:themeColor="text1"/>
            <w:sz w:val="20"/>
            <w:szCs w:val="20"/>
          </w:rPr>
          <w:t>(link) </w:t>
        </w:r>
      </w:hyperlink>
    </w:p>
    <w:p w14:paraId="646B7217" w14:textId="77777777" w:rsidR="00007C8F" w:rsidRDefault="00007C8F" w:rsidP="00007C8F">
      <w:pPr>
        <w:numPr>
          <w:ilvl w:val="0"/>
          <w:numId w:val="3"/>
        </w:numPr>
        <w:shd w:val="clear" w:color="auto" w:fill="FFFFFF"/>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CFR Title 21, Part II </w:t>
      </w:r>
      <w:hyperlink r:id="rId16" w:history="1">
        <w:r w:rsidRPr="003500EE">
          <w:rPr>
            <w:rStyle w:val="Hyperlink"/>
            <w:rFonts w:ascii="Arial" w:eastAsia="Arial" w:hAnsi="Arial" w:cs="Arial"/>
            <w:sz w:val="20"/>
            <w:szCs w:val="20"/>
          </w:rPr>
          <w:t>(link)</w:t>
        </w:r>
      </w:hyperlink>
    </w:p>
    <w:p w14:paraId="0904CD80" w14:textId="01740184" w:rsidR="00007C8F" w:rsidRPr="00AA0320" w:rsidRDefault="00007C8F" w:rsidP="00007C8F">
      <w:pPr>
        <w:numPr>
          <w:ilvl w:val="0"/>
          <w:numId w:val="3"/>
        </w:numPr>
        <w:shd w:val="clear" w:color="auto" w:fill="FFFFFF"/>
        <w:spacing w:after="0" w:line="240" w:lineRule="auto"/>
        <w:rPr>
          <w:rStyle w:val="Hyperlink"/>
          <w:rFonts w:ascii="Arial" w:eastAsia="Arial" w:hAnsi="Arial" w:cs="Arial"/>
          <w:color w:val="000000" w:themeColor="text1"/>
          <w:sz w:val="20"/>
          <w:szCs w:val="20"/>
          <w:u w:val="none"/>
        </w:rPr>
      </w:pPr>
      <w:r>
        <w:rPr>
          <w:rFonts w:ascii="Arial" w:eastAsia="Arial" w:hAnsi="Arial" w:cs="Arial"/>
          <w:color w:val="000000" w:themeColor="text1"/>
          <w:sz w:val="20"/>
          <w:szCs w:val="20"/>
        </w:rPr>
        <w:t xml:space="preserve">FDA Use of Electronic Records and Electronic Signatures in Clinical Investigations Under 21 CFR Part 11 – Questions and Answers, 2017 </w:t>
      </w:r>
      <w:hyperlink r:id="rId17" w:history="1">
        <w:r w:rsidRPr="00EA55D8">
          <w:rPr>
            <w:rStyle w:val="Hyperlink"/>
            <w:rFonts w:ascii="Arial" w:eastAsia="Arial" w:hAnsi="Arial" w:cs="Arial"/>
            <w:sz w:val="20"/>
            <w:szCs w:val="20"/>
          </w:rPr>
          <w:t>(link)</w:t>
        </w:r>
      </w:hyperlink>
    </w:p>
    <w:p w14:paraId="5A6AD0B6" w14:textId="48CA33D6" w:rsidR="00AA0320" w:rsidRPr="00102230" w:rsidRDefault="00AA0320" w:rsidP="00007C8F">
      <w:pPr>
        <w:numPr>
          <w:ilvl w:val="0"/>
          <w:numId w:val="3"/>
        </w:numPr>
        <w:shd w:val="clear" w:color="auto" w:fill="FFFFFF"/>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FDA Letters of Non-Repudiation Agreement, Appendix G </w:t>
      </w:r>
      <w:hyperlink r:id="rId18" w:history="1">
        <w:r w:rsidRPr="00AA0320">
          <w:rPr>
            <w:rStyle w:val="Hyperlink"/>
            <w:rFonts w:ascii="Arial" w:eastAsia="Arial" w:hAnsi="Arial" w:cs="Arial"/>
            <w:sz w:val="20"/>
            <w:szCs w:val="20"/>
          </w:rPr>
          <w:t>(link)</w:t>
        </w:r>
      </w:hyperlink>
    </w:p>
    <w:p w14:paraId="184C659E" w14:textId="68A75397" w:rsidR="00007C8F" w:rsidRPr="008F08D4" w:rsidRDefault="00007C8F" w:rsidP="00007C8F">
      <w:pPr>
        <w:numPr>
          <w:ilvl w:val="0"/>
          <w:numId w:val="3"/>
        </w:numPr>
        <w:shd w:val="clear" w:color="auto" w:fill="FFFFFF"/>
        <w:spacing w:after="0" w:line="240" w:lineRule="auto"/>
        <w:rPr>
          <w:rStyle w:val="Hyperlink"/>
          <w:rFonts w:ascii="Arial" w:eastAsia="Arial" w:hAnsi="Arial" w:cs="Arial"/>
          <w:color w:val="333333"/>
          <w:sz w:val="20"/>
          <w:szCs w:val="20"/>
          <w:u w:val="none"/>
        </w:rPr>
      </w:pPr>
      <w:r w:rsidRPr="00102230">
        <w:rPr>
          <w:rFonts w:ascii="Arial" w:eastAsia="Arial" w:hAnsi="Arial" w:cs="Arial"/>
          <w:color w:val="000000" w:themeColor="text1"/>
          <w:sz w:val="20"/>
          <w:szCs w:val="20"/>
        </w:rPr>
        <w:t xml:space="preserve">Veeva SiteVault Validation Documents </w:t>
      </w:r>
      <w:hyperlink r:id="rId19" w:history="1">
        <w:r w:rsidRPr="00CB1803">
          <w:rPr>
            <w:rStyle w:val="Hyperlink"/>
            <w:rFonts w:ascii="Arial" w:eastAsia="Arial" w:hAnsi="Arial" w:cs="Arial"/>
            <w:sz w:val="20"/>
            <w:szCs w:val="20"/>
          </w:rPr>
          <w:t>(link)</w:t>
        </w:r>
      </w:hyperlink>
    </w:p>
    <w:p w14:paraId="73DCFD23" w14:textId="77777777" w:rsidR="00463CF6" w:rsidRPr="00461358" w:rsidRDefault="00463CF6" w:rsidP="00463CF6">
      <w:pPr>
        <w:pStyle w:val="ListParagraph"/>
        <w:numPr>
          <w:ilvl w:val="0"/>
          <w:numId w:val="3"/>
        </w:numPr>
        <w:spacing w:after="0" w:line="240" w:lineRule="auto"/>
        <w:rPr>
          <w:rFonts w:ascii="Arial" w:eastAsia="Arial" w:hAnsi="Arial" w:cs="Arial"/>
          <w:sz w:val="20"/>
          <w:szCs w:val="20"/>
        </w:rPr>
      </w:pPr>
      <w:r w:rsidRPr="00461358">
        <w:rPr>
          <w:rFonts w:ascii="Arial" w:eastAsia="Arial" w:hAnsi="Arial" w:cs="Arial"/>
          <w:sz w:val="20"/>
          <w:szCs w:val="20"/>
        </w:rPr>
        <w:t>Title 21 CFR 312.53 – Selecting Investigators and Monitors</w:t>
      </w:r>
    </w:p>
    <w:p w14:paraId="177F79B4" w14:textId="77777777" w:rsidR="00463CF6" w:rsidRPr="00461358" w:rsidRDefault="00463CF6" w:rsidP="00463CF6">
      <w:pPr>
        <w:pStyle w:val="ListParagraph"/>
        <w:numPr>
          <w:ilvl w:val="0"/>
          <w:numId w:val="3"/>
        </w:numPr>
        <w:spacing w:after="0" w:line="240" w:lineRule="auto"/>
        <w:rPr>
          <w:rFonts w:ascii="Arial" w:eastAsia="Arial" w:hAnsi="Arial" w:cs="Arial"/>
          <w:sz w:val="20"/>
          <w:szCs w:val="20"/>
        </w:rPr>
      </w:pPr>
      <w:r w:rsidRPr="00461358">
        <w:rPr>
          <w:rFonts w:ascii="Arial" w:eastAsia="Arial" w:hAnsi="Arial" w:cs="Arial"/>
          <w:sz w:val="20"/>
          <w:szCs w:val="20"/>
        </w:rPr>
        <w:t>Title 21 CFR 312.60 – General Responsibilities of Investigators</w:t>
      </w:r>
    </w:p>
    <w:p w14:paraId="6FCE46B4" w14:textId="77777777" w:rsidR="00463CF6" w:rsidRPr="00461358" w:rsidRDefault="00463CF6" w:rsidP="00463CF6">
      <w:pPr>
        <w:pStyle w:val="ListParagraph"/>
        <w:numPr>
          <w:ilvl w:val="0"/>
          <w:numId w:val="3"/>
        </w:numPr>
        <w:spacing w:after="0" w:line="240" w:lineRule="auto"/>
        <w:rPr>
          <w:rFonts w:ascii="Arial" w:eastAsia="Arial" w:hAnsi="Arial" w:cs="Arial"/>
          <w:sz w:val="20"/>
          <w:szCs w:val="20"/>
        </w:rPr>
      </w:pPr>
      <w:r w:rsidRPr="00461358">
        <w:rPr>
          <w:rFonts w:ascii="Arial" w:eastAsia="Arial" w:hAnsi="Arial" w:cs="Arial"/>
          <w:sz w:val="20"/>
          <w:szCs w:val="20"/>
        </w:rPr>
        <w:t>Title 21 CFR 812(e) – Responsibilities of Investigators ICH GCP E6 Guidelines</w:t>
      </w:r>
    </w:p>
    <w:p w14:paraId="5C1369F3" w14:textId="31AA5D69" w:rsidR="00463CF6" w:rsidRPr="00461358" w:rsidRDefault="00463CF6" w:rsidP="00463CF6">
      <w:pPr>
        <w:pStyle w:val="ListParagraph"/>
        <w:numPr>
          <w:ilvl w:val="0"/>
          <w:numId w:val="3"/>
        </w:numPr>
        <w:spacing w:after="0" w:line="240" w:lineRule="auto"/>
        <w:rPr>
          <w:rFonts w:ascii="Arial" w:eastAsia="Arial" w:hAnsi="Arial" w:cs="Arial"/>
          <w:sz w:val="20"/>
          <w:szCs w:val="20"/>
        </w:rPr>
      </w:pPr>
      <w:r w:rsidRPr="00461358">
        <w:rPr>
          <w:rFonts w:ascii="Arial" w:eastAsia="Arial" w:hAnsi="Arial" w:cs="Arial"/>
          <w:sz w:val="20"/>
          <w:szCs w:val="20"/>
        </w:rPr>
        <w:t>Guidance for Industry: Investigator Responsibilities –Protecting the Rights, Safety, and Welfare of Study Subjects</w:t>
      </w:r>
    </w:p>
    <w:p w14:paraId="763EABE2" w14:textId="77777777" w:rsidR="008F08D4" w:rsidRPr="00461358" w:rsidRDefault="008F08D4" w:rsidP="00461358">
      <w:pPr>
        <w:shd w:val="clear" w:color="auto" w:fill="FFFFFF"/>
        <w:spacing w:after="0" w:line="240" w:lineRule="auto"/>
        <w:ind w:left="720"/>
        <w:rPr>
          <w:rFonts w:ascii="Arial" w:eastAsia="Arial" w:hAnsi="Arial" w:cs="Arial"/>
          <w:sz w:val="20"/>
          <w:szCs w:val="20"/>
        </w:rPr>
      </w:pPr>
    </w:p>
    <w:p w14:paraId="3909E397" w14:textId="77777777" w:rsidR="00006452" w:rsidRDefault="00006452" w:rsidP="00AA0320">
      <w:pPr>
        <w:shd w:val="clear" w:color="auto" w:fill="FFFFFF"/>
        <w:spacing w:after="0" w:line="240" w:lineRule="auto"/>
        <w:ind w:left="1080"/>
        <w:rPr>
          <w:rFonts w:ascii="Arial" w:eastAsia="Arial" w:hAnsi="Arial" w:cs="Arial"/>
          <w:color w:val="333333"/>
          <w:sz w:val="20"/>
          <w:szCs w:val="20"/>
        </w:rPr>
      </w:pPr>
    </w:p>
    <w:p w14:paraId="534FDA82" w14:textId="77777777" w:rsidR="005C2D9E" w:rsidRDefault="005C2D9E">
      <w:pPr>
        <w:spacing w:after="0" w:line="240" w:lineRule="auto"/>
        <w:rPr>
          <w:rFonts w:ascii="Arial" w:eastAsia="Arial" w:hAnsi="Arial" w:cs="Arial"/>
          <w:b/>
          <w:sz w:val="20"/>
          <w:szCs w:val="20"/>
        </w:rPr>
      </w:pPr>
    </w:p>
    <w:p w14:paraId="534FDA83" w14:textId="77777777" w:rsidR="005C2D9E" w:rsidRDefault="00272C2D">
      <w:pPr>
        <w:spacing w:after="0" w:line="240" w:lineRule="auto"/>
        <w:rPr>
          <w:rFonts w:ascii="Arial" w:eastAsia="Arial" w:hAnsi="Arial" w:cs="Arial"/>
          <w:b/>
          <w:sz w:val="20"/>
          <w:szCs w:val="20"/>
        </w:rPr>
      </w:pPr>
      <w:r>
        <w:rPr>
          <w:rFonts w:ascii="Arial" w:eastAsia="Arial" w:hAnsi="Arial" w:cs="Arial"/>
          <w:b/>
          <w:sz w:val="20"/>
          <w:szCs w:val="20"/>
        </w:rPr>
        <w:t>Revision/Change History</w:t>
      </w:r>
    </w:p>
    <w:p w14:paraId="534FDA84" w14:textId="6A5263BB" w:rsidR="005C2D9E" w:rsidRDefault="005C2D9E">
      <w:pPr>
        <w:shd w:val="clear" w:color="auto" w:fill="FFFFFF"/>
        <w:spacing w:before="280" w:after="0" w:line="240" w:lineRule="auto"/>
        <w:rPr>
          <w:rFonts w:ascii="Arial" w:eastAsia="Arial" w:hAnsi="Arial" w:cs="Arial"/>
          <w:sz w:val="20"/>
          <w:szCs w:val="20"/>
        </w:rPr>
      </w:pPr>
    </w:p>
    <w:sectPr w:rsidR="005C2D9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44E0" w14:textId="77777777" w:rsidR="00F869A7" w:rsidRDefault="00F869A7">
      <w:pPr>
        <w:spacing w:after="0" w:line="240" w:lineRule="auto"/>
      </w:pPr>
      <w:r>
        <w:separator/>
      </w:r>
    </w:p>
  </w:endnote>
  <w:endnote w:type="continuationSeparator" w:id="0">
    <w:p w14:paraId="027508EB" w14:textId="77777777" w:rsidR="00F869A7" w:rsidRDefault="00F8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4541" w14:textId="77777777" w:rsidR="007D124B" w:rsidRDefault="007D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A88" w14:textId="6CE68FC7" w:rsidR="005C2D9E" w:rsidRDefault="00272C2D">
    <w:pPr>
      <w:pBdr>
        <w:top w:val="nil"/>
        <w:left w:val="nil"/>
        <w:bottom w:val="nil"/>
        <w:right w:val="nil"/>
        <w:between w:val="nil"/>
      </w:pBdr>
      <w:tabs>
        <w:tab w:val="center" w:pos="4680"/>
        <w:tab w:val="right" w:pos="9360"/>
      </w:tabs>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 xml:space="preserve">Use of Electronic </w:t>
    </w:r>
    <w:r w:rsidR="007D124B">
      <w:rPr>
        <w:rFonts w:ascii="Arial" w:eastAsia="Arial" w:hAnsi="Arial" w:cs="Arial"/>
        <w:sz w:val="16"/>
        <w:szCs w:val="16"/>
      </w:rPr>
      <w:t xml:space="preserve">Delegation of Authority </w:t>
    </w:r>
    <w:r w:rsidR="00D95AA1">
      <w:rPr>
        <w:rFonts w:ascii="Arial" w:eastAsia="Arial" w:hAnsi="Arial" w:cs="Arial"/>
        <w:sz w:val="16"/>
        <w:szCs w:val="16"/>
      </w:rPr>
      <w:t>SOP</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A568C1">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A568C1">
      <w:rPr>
        <w:rFonts w:ascii="Arial" w:eastAsia="Arial" w:hAnsi="Arial" w:cs="Arial"/>
        <w:b/>
        <w:noProof/>
        <w:color w:val="000000"/>
        <w:sz w:val="16"/>
        <w:szCs w:val="16"/>
      </w:rPr>
      <w:t>2</w:t>
    </w:r>
    <w:r>
      <w:rPr>
        <w:rFonts w:ascii="Arial" w:eastAsia="Arial" w:hAnsi="Arial" w:cs="Arial"/>
        <w:b/>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65CE" w14:textId="77777777" w:rsidR="007D124B" w:rsidRDefault="007D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5A4F" w14:textId="77777777" w:rsidR="00F869A7" w:rsidRDefault="00F869A7">
      <w:pPr>
        <w:spacing w:after="0" w:line="240" w:lineRule="auto"/>
      </w:pPr>
      <w:r>
        <w:separator/>
      </w:r>
    </w:p>
  </w:footnote>
  <w:footnote w:type="continuationSeparator" w:id="0">
    <w:p w14:paraId="08D40B88" w14:textId="77777777" w:rsidR="00F869A7" w:rsidRDefault="00F869A7">
      <w:pPr>
        <w:spacing w:after="0" w:line="240" w:lineRule="auto"/>
      </w:pPr>
      <w:r>
        <w:continuationSeparator/>
      </w:r>
    </w:p>
  </w:footnote>
  <w:footnote w:id="1">
    <w:p w14:paraId="20594AF4" w14:textId="77777777" w:rsidR="00670DC9" w:rsidRPr="000943BC" w:rsidRDefault="00670DC9" w:rsidP="00670DC9">
      <w:pPr>
        <w:pStyle w:val="FootnoteText"/>
        <w:rPr>
          <w:color w:val="948A54" w:themeColor="background2" w:themeShade="80"/>
        </w:rPr>
      </w:pPr>
      <w:r w:rsidRPr="000943BC">
        <w:rPr>
          <w:rStyle w:val="FootnoteReference"/>
          <w:color w:val="948A54" w:themeColor="background2" w:themeShade="80"/>
        </w:rPr>
        <w:footnoteRef/>
      </w:r>
      <w:r w:rsidRPr="000943BC">
        <w:rPr>
          <w:color w:val="948A54" w:themeColor="background2" w:themeShade="80"/>
        </w:rPr>
        <w:t xml:space="preserve"> </w:t>
      </w:r>
      <w:r w:rsidRPr="00DF7441">
        <w:rPr>
          <w:color w:val="7F7F7F" w:themeColor="text1" w:themeTint="80"/>
          <w:sz w:val="16"/>
          <w:szCs w:val="16"/>
        </w:rPr>
        <w:t>ICH-GCP E6(R2), 2016. Integrated Addendum to ICH E6(R1): Guideline for Good Clinical Practice. 1.23 Essential Documents (</w:t>
      </w:r>
      <w:hyperlink r:id="rId1">
        <w:r w:rsidRPr="00DF7441">
          <w:rPr>
            <w:color w:val="7F7F7F" w:themeColor="text1" w:themeTint="80"/>
            <w:sz w:val="16"/>
            <w:szCs w:val="16"/>
          </w:rPr>
          <w:t>link</w:t>
        </w:r>
      </w:hyperlink>
      <w:r w:rsidRPr="00DF7441">
        <w:rPr>
          <w:color w:val="7F7F7F" w:themeColor="text1" w:themeTint="80"/>
          <w:sz w:val="16"/>
          <w:szCs w:val="16"/>
        </w:rPr>
        <w:t>)</w:t>
      </w:r>
    </w:p>
  </w:footnote>
  <w:footnote w:id="2">
    <w:p w14:paraId="346753F1" w14:textId="68FCB95A" w:rsidR="002B4D87" w:rsidRPr="002B54AB" w:rsidRDefault="002B4D87">
      <w:pPr>
        <w:pStyle w:val="FootnoteText"/>
        <w:rPr>
          <w:sz w:val="16"/>
          <w:szCs w:val="16"/>
        </w:rPr>
      </w:pPr>
      <w:r w:rsidRPr="00F34F54">
        <w:rPr>
          <w:rStyle w:val="FootnoteReference"/>
          <w:color w:val="7F7F7F" w:themeColor="text1" w:themeTint="80"/>
          <w:sz w:val="16"/>
          <w:szCs w:val="16"/>
        </w:rPr>
        <w:footnoteRef/>
      </w:r>
      <w:r w:rsidRPr="00F34F54">
        <w:rPr>
          <w:color w:val="7F7F7F" w:themeColor="text1" w:themeTint="80"/>
          <w:sz w:val="16"/>
          <w:szCs w:val="16"/>
        </w:rPr>
        <w:t xml:space="preserve"> </w:t>
      </w:r>
      <w:r w:rsidR="002C0113" w:rsidRPr="00F34F54">
        <w:rPr>
          <w:color w:val="7F7F7F" w:themeColor="text1" w:themeTint="80"/>
          <w:sz w:val="16"/>
          <w:szCs w:val="16"/>
        </w:rPr>
        <w:t>FDA Electronic Submission Gateway, Appendix G: Letters of Non-Repudiation (</w:t>
      </w:r>
      <w:hyperlink r:id="rId2" w:history="1">
        <w:r w:rsidR="002C0113" w:rsidRPr="00F34F54">
          <w:rPr>
            <w:rStyle w:val="Hyperlink"/>
            <w:color w:val="7F7F7F" w:themeColor="text1" w:themeTint="80"/>
            <w:sz w:val="16"/>
            <w:szCs w:val="16"/>
          </w:rPr>
          <w:t>link</w:t>
        </w:r>
      </w:hyperlink>
      <w:r w:rsidR="002C0113" w:rsidRPr="00F34F54">
        <w:rPr>
          <w:color w:val="7F7F7F" w:themeColor="text1" w:themeTint="80"/>
          <w:sz w:val="16"/>
          <w:szCs w:val="16"/>
        </w:rPr>
        <w:t>)</w:t>
      </w:r>
    </w:p>
  </w:footnote>
  <w:footnote w:id="3">
    <w:p w14:paraId="10642F00" w14:textId="77777777" w:rsidR="009A3D44" w:rsidRPr="00DF7441" w:rsidRDefault="009A3D44" w:rsidP="009A3D44">
      <w:pPr>
        <w:pStyle w:val="FootnoteText"/>
        <w:rPr>
          <w:sz w:val="16"/>
          <w:szCs w:val="16"/>
        </w:rPr>
      </w:pPr>
      <w:r w:rsidRPr="00DF7441">
        <w:rPr>
          <w:rStyle w:val="FootnoteReference"/>
          <w:color w:val="948A54" w:themeColor="background2" w:themeShade="80"/>
          <w:sz w:val="16"/>
          <w:szCs w:val="16"/>
        </w:rPr>
        <w:footnoteRef/>
      </w:r>
      <w:r w:rsidRPr="00DF7441">
        <w:rPr>
          <w:color w:val="948A54" w:themeColor="background2" w:themeShade="80"/>
          <w:sz w:val="16"/>
          <w:szCs w:val="16"/>
        </w:rPr>
        <w:t xml:space="preserve"> </w:t>
      </w:r>
      <w:r w:rsidRPr="00DF7441">
        <w:rPr>
          <w:color w:val="7F7F7F" w:themeColor="text1" w:themeTint="80"/>
          <w:sz w:val="16"/>
          <w:szCs w:val="16"/>
        </w:rPr>
        <w:t>ICH-GCP E6(R2), 2016. Integrated Addendum to ICH E6(R1): Guideline for Good Clinical Practice. 1.65 Validation of Computer Systems (</w:t>
      </w:r>
      <w:hyperlink r:id="rId3">
        <w:r w:rsidRPr="00DF7441">
          <w:rPr>
            <w:color w:val="7F7F7F" w:themeColor="text1" w:themeTint="80"/>
            <w:sz w:val="16"/>
            <w:szCs w:val="16"/>
          </w:rPr>
          <w:t>link</w:t>
        </w:r>
      </w:hyperlink>
      <w:r w:rsidRPr="00DF7441">
        <w:rPr>
          <w:color w:val="7F7F7F" w:themeColor="text1" w:themeTint="8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58DB" w14:textId="77777777" w:rsidR="007D124B" w:rsidRDefault="007D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A85" w14:textId="472439D6" w:rsidR="005C2D9E" w:rsidRDefault="00272C2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highlight w:val="lightGray"/>
      </w:rPr>
      <w:t>[</w:t>
    </w:r>
    <w:r w:rsidR="0008673A">
      <w:rPr>
        <w:rFonts w:ascii="Arial" w:eastAsia="Arial" w:hAnsi="Arial" w:cs="Arial"/>
        <w:color w:val="000000"/>
        <w:highlight w:val="lightGray"/>
      </w:rPr>
      <w:t>SITE NAME | LOGO</w:t>
    </w:r>
    <w:r>
      <w:rPr>
        <w:rFonts w:ascii="Arial" w:eastAsia="Arial" w:hAnsi="Arial" w:cs="Arial"/>
        <w:color w:val="000000"/>
        <w:highlight w:val="lightGray"/>
      </w:rPr>
      <w:t>]</w:t>
    </w:r>
  </w:p>
  <w:p w14:paraId="534FDA86" w14:textId="77777777" w:rsidR="005C2D9E" w:rsidRDefault="00272C2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t>Standard Operating Procedure</w:t>
    </w:r>
  </w:p>
  <w:p w14:paraId="534FDA87" w14:textId="77777777" w:rsidR="005C2D9E" w:rsidRDefault="005C2D9E">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ADEB" w14:textId="77777777" w:rsidR="007D124B" w:rsidRDefault="007D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BF0"/>
    <w:multiLevelType w:val="multilevel"/>
    <w:tmpl w:val="0256008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178041F9"/>
    <w:multiLevelType w:val="hybridMultilevel"/>
    <w:tmpl w:val="02F61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9B4471"/>
    <w:multiLevelType w:val="multilevel"/>
    <w:tmpl w:val="B1A24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452DE"/>
    <w:multiLevelType w:val="multilevel"/>
    <w:tmpl w:val="BBB813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5E53DB6"/>
    <w:multiLevelType w:val="multilevel"/>
    <w:tmpl w:val="42C2A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9E"/>
    <w:rsid w:val="00006452"/>
    <w:rsid w:val="00007C8F"/>
    <w:rsid w:val="00044458"/>
    <w:rsid w:val="00047182"/>
    <w:rsid w:val="00081873"/>
    <w:rsid w:val="00084208"/>
    <w:rsid w:val="0008673A"/>
    <w:rsid w:val="00086E59"/>
    <w:rsid w:val="000A40C7"/>
    <w:rsid w:val="000B7161"/>
    <w:rsid w:val="000C41A2"/>
    <w:rsid w:val="000C6CB4"/>
    <w:rsid w:val="000F3F89"/>
    <w:rsid w:val="00115E95"/>
    <w:rsid w:val="00122641"/>
    <w:rsid w:val="001624BD"/>
    <w:rsid w:val="00172AF3"/>
    <w:rsid w:val="00195A14"/>
    <w:rsid w:val="001A2284"/>
    <w:rsid w:val="001A3EB4"/>
    <w:rsid w:val="001D35FA"/>
    <w:rsid w:val="001E345D"/>
    <w:rsid w:val="001E3E78"/>
    <w:rsid w:val="00271354"/>
    <w:rsid w:val="0027174B"/>
    <w:rsid w:val="00272C2D"/>
    <w:rsid w:val="0028763B"/>
    <w:rsid w:val="002B1667"/>
    <w:rsid w:val="002B4D87"/>
    <w:rsid w:val="002B54AB"/>
    <w:rsid w:val="002C0113"/>
    <w:rsid w:val="002C0550"/>
    <w:rsid w:val="002C08BA"/>
    <w:rsid w:val="002D72A1"/>
    <w:rsid w:val="00312323"/>
    <w:rsid w:val="00367CA5"/>
    <w:rsid w:val="00385588"/>
    <w:rsid w:val="003B7668"/>
    <w:rsid w:val="003E4579"/>
    <w:rsid w:val="00400250"/>
    <w:rsid w:val="0043217B"/>
    <w:rsid w:val="004578FE"/>
    <w:rsid w:val="00461358"/>
    <w:rsid w:val="00463CF6"/>
    <w:rsid w:val="00486B62"/>
    <w:rsid w:val="00495B02"/>
    <w:rsid w:val="004C2E20"/>
    <w:rsid w:val="004D0BE6"/>
    <w:rsid w:val="004D196A"/>
    <w:rsid w:val="004F4372"/>
    <w:rsid w:val="00521ED6"/>
    <w:rsid w:val="0054403F"/>
    <w:rsid w:val="00592327"/>
    <w:rsid w:val="005B4059"/>
    <w:rsid w:val="005C2D9E"/>
    <w:rsid w:val="005E191E"/>
    <w:rsid w:val="005E1F2F"/>
    <w:rsid w:val="005F137C"/>
    <w:rsid w:val="00634257"/>
    <w:rsid w:val="00646341"/>
    <w:rsid w:val="00670DC9"/>
    <w:rsid w:val="00692D83"/>
    <w:rsid w:val="006A090F"/>
    <w:rsid w:val="006E3358"/>
    <w:rsid w:val="00753702"/>
    <w:rsid w:val="00773C70"/>
    <w:rsid w:val="00782DDE"/>
    <w:rsid w:val="00783026"/>
    <w:rsid w:val="007969BC"/>
    <w:rsid w:val="007A719E"/>
    <w:rsid w:val="007D04D6"/>
    <w:rsid w:val="007D124B"/>
    <w:rsid w:val="007F5087"/>
    <w:rsid w:val="0080612B"/>
    <w:rsid w:val="008A64C4"/>
    <w:rsid w:val="008C416B"/>
    <w:rsid w:val="008C6785"/>
    <w:rsid w:val="008F08D4"/>
    <w:rsid w:val="00942B9A"/>
    <w:rsid w:val="009810C5"/>
    <w:rsid w:val="009A0D02"/>
    <w:rsid w:val="009A3D44"/>
    <w:rsid w:val="009C4028"/>
    <w:rsid w:val="009F1702"/>
    <w:rsid w:val="009F7052"/>
    <w:rsid w:val="009F7928"/>
    <w:rsid w:val="00A414FF"/>
    <w:rsid w:val="00A568C1"/>
    <w:rsid w:val="00A56CD4"/>
    <w:rsid w:val="00A72C90"/>
    <w:rsid w:val="00A75907"/>
    <w:rsid w:val="00A937FA"/>
    <w:rsid w:val="00A973E4"/>
    <w:rsid w:val="00AA0320"/>
    <w:rsid w:val="00AA7884"/>
    <w:rsid w:val="00AD4434"/>
    <w:rsid w:val="00B436F5"/>
    <w:rsid w:val="00B55531"/>
    <w:rsid w:val="00B73F6B"/>
    <w:rsid w:val="00BC4D15"/>
    <w:rsid w:val="00BD09DA"/>
    <w:rsid w:val="00C22C1A"/>
    <w:rsid w:val="00C6419F"/>
    <w:rsid w:val="00C81CF6"/>
    <w:rsid w:val="00CC450D"/>
    <w:rsid w:val="00CE21F9"/>
    <w:rsid w:val="00CF2519"/>
    <w:rsid w:val="00CF3EEA"/>
    <w:rsid w:val="00D07418"/>
    <w:rsid w:val="00D10A94"/>
    <w:rsid w:val="00D3640D"/>
    <w:rsid w:val="00D52A1E"/>
    <w:rsid w:val="00D66039"/>
    <w:rsid w:val="00D73BC3"/>
    <w:rsid w:val="00D76746"/>
    <w:rsid w:val="00D95AA1"/>
    <w:rsid w:val="00DB1B3D"/>
    <w:rsid w:val="00DC78D3"/>
    <w:rsid w:val="00DD20A7"/>
    <w:rsid w:val="00DD7F96"/>
    <w:rsid w:val="00DF7441"/>
    <w:rsid w:val="00EA5912"/>
    <w:rsid w:val="00F10961"/>
    <w:rsid w:val="00F34F54"/>
    <w:rsid w:val="00F43C9B"/>
    <w:rsid w:val="00F51F06"/>
    <w:rsid w:val="00F55E23"/>
    <w:rsid w:val="00F57E04"/>
    <w:rsid w:val="00F869A7"/>
    <w:rsid w:val="00FB6E88"/>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DA41"/>
  <w15:docId w15:val="{C4C8E5AE-D7D2-8A45-9E3C-06EC5A9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10961"/>
    <w:rPr>
      <w:color w:val="0000FF"/>
      <w:u w:val="single"/>
    </w:rPr>
  </w:style>
  <w:style w:type="paragraph" w:styleId="ListParagraph">
    <w:name w:val="List Paragraph"/>
    <w:basedOn w:val="Normal"/>
    <w:uiPriority w:val="34"/>
    <w:qFormat/>
    <w:rsid w:val="00F10961"/>
    <w:pPr>
      <w:ind w:left="720"/>
      <w:contextualSpacing/>
    </w:pPr>
  </w:style>
  <w:style w:type="character" w:styleId="UnresolvedMention">
    <w:name w:val="Unresolved Mention"/>
    <w:basedOn w:val="DefaultParagraphFont"/>
    <w:uiPriority w:val="99"/>
    <w:semiHidden/>
    <w:unhideWhenUsed/>
    <w:rsid w:val="00AA0320"/>
    <w:rPr>
      <w:color w:val="605E5C"/>
      <w:shd w:val="clear" w:color="auto" w:fill="E1DFDD"/>
    </w:rPr>
  </w:style>
  <w:style w:type="paragraph" w:styleId="FootnoteText">
    <w:name w:val="footnote text"/>
    <w:basedOn w:val="Normal"/>
    <w:link w:val="FootnoteTextChar"/>
    <w:uiPriority w:val="99"/>
    <w:unhideWhenUsed/>
    <w:rsid w:val="002B4D87"/>
    <w:pPr>
      <w:spacing w:after="0" w:line="240" w:lineRule="auto"/>
    </w:pPr>
    <w:rPr>
      <w:sz w:val="20"/>
      <w:szCs w:val="20"/>
    </w:rPr>
  </w:style>
  <w:style w:type="character" w:customStyle="1" w:styleId="FootnoteTextChar">
    <w:name w:val="Footnote Text Char"/>
    <w:basedOn w:val="DefaultParagraphFont"/>
    <w:link w:val="FootnoteText"/>
    <w:uiPriority w:val="99"/>
    <w:rsid w:val="002B4D87"/>
    <w:rPr>
      <w:sz w:val="20"/>
      <w:szCs w:val="20"/>
    </w:rPr>
  </w:style>
  <w:style w:type="character" w:styleId="FootnoteReference">
    <w:name w:val="footnote reference"/>
    <w:basedOn w:val="DefaultParagraphFont"/>
    <w:uiPriority w:val="99"/>
    <w:semiHidden/>
    <w:unhideWhenUsed/>
    <w:rsid w:val="002B4D87"/>
    <w:rPr>
      <w:vertAlign w:val="superscript"/>
    </w:rPr>
  </w:style>
  <w:style w:type="character" w:styleId="FollowedHyperlink">
    <w:name w:val="FollowedHyperlink"/>
    <w:basedOn w:val="DefaultParagraphFont"/>
    <w:uiPriority w:val="99"/>
    <w:semiHidden/>
    <w:unhideWhenUsed/>
    <w:rsid w:val="002B54AB"/>
    <w:rPr>
      <w:color w:val="800080" w:themeColor="followedHyperlink"/>
      <w:u w:val="single"/>
    </w:rPr>
  </w:style>
  <w:style w:type="paragraph" w:styleId="Header">
    <w:name w:val="header"/>
    <w:basedOn w:val="Normal"/>
    <w:link w:val="HeaderChar"/>
    <w:uiPriority w:val="99"/>
    <w:unhideWhenUsed/>
    <w:rsid w:val="0008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3A"/>
  </w:style>
  <w:style w:type="paragraph" w:styleId="Footer">
    <w:name w:val="footer"/>
    <w:basedOn w:val="Normal"/>
    <w:link w:val="FooterChar"/>
    <w:uiPriority w:val="99"/>
    <w:unhideWhenUsed/>
    <w:rsid w:val="0008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0517">
      <w:bodyDiv w:val="1"/>
      <w:marLeft w:val="0"/>
      <w:marRight w:val="0"/>
      <w:marTop w:val="0"/>
      <w:marBottom w:val="0"/>
      <w:divBdr>
        <w:top w:val="none" w:sz="0" w:space="0" w:color="auto"/>
        <w:left w:val="none" w:sz="0" w:space="0" w:color="auto"/>
        <w:bottom w:val="none" w:sz="0" w:space="0" w:color="auto"/>
        <w:right w:val="none" w:sz="0" w:space="0" w:color="auto"/>
      </w:divBdr>
    </w:div>
    <w:div w:id="333846545">
      <w:bodyDiv w:val="1"/>
      <w:marLeft w:val="0"/>
      <w:marRight w:val="0"/>
      <w:marTop w:val="0"/>
      <w:marBottom w:val="0"/>
      <w:divBdr>
        <w:top w:val="none" w:sz="0" w:space="0" w:color="auto"/>
        <w:left w:val="none" w:sz="0" w:space="0" w:color="auto"/>
        <w:bottom w:val="none" w:sz="0" w:space="0" w:color="auto"/>
        <w:right w:val="none" w:sz="0" w:space="0" w:color="auto"/>
      </w:divBdr>
    </w:div>
    <w:div w:id="1062098694">
      <w:bodyDiv w:val="1"/>
      <w:marLeft w:val="0"/>
      <w:marRight w:val="0"/>
      <w:marTop w:val="0"/>
      <w:marBottom w:val="0"/>
      <w:divBdr>
        <w:top w:val="none" w:sz="0" w:space="0" w:color="auto"/>
        <w:left w:val="none" w:sz="0" w:space="0" w:color="auto"/>
        <w:bottom w:val="none" w:sz="0" w:space="0" w:color="auto"/>
        <w:right w:val="none" w:sz="0" w:space="0" w:color="auto"/>
      </w:divBdr>
    </w:div>
    <w:div w:id="1220358328">
      <w:bodyDiv w:val="1"/>
      <w:marLeft w:val="0"/>
      <w:marRight w:val="0"/>
      <w:marTop w:val="0"/>
      <w:marBottom w:val="0"/>
      <w:divBdr>
        <w:top w:val="none" w:sz="0" w:space="0" w:color="auto"/>
        <w:left w:val="none" w:sz="0" w:space="0" w:color="auto"/>
        <w:bottom w:val="none" w:sz="0" w:space="0" w:color="auto"/>
        <w:right w:val="none" w:sz="0" w:space="0" w:color="auto"/>
      </w:divBdr>
    </w:div>
    <w:div w:id="1265965541">
      <w:bodyDiv w:val="1"/>
      <w:marLeft w:val="0"/>
      <w:marRight w:val="0"/>
      <w:marTop w:val="0"/>
      <w:marBottom w:val="0"/>
      <w:divBdr>
        <w:top w:val="none" w:sz="0" w:space="0" w:color="auto"/>
        <w:left w:val="none" w:sz="0" w:space="0" w:color="auto"/>
        <w:bottom w:val="none" w:sz="0" w:space="0" w:color="auto"/>
        <w:right w:val="none" w:sz="0" w:space="0" w:color="auto"/>
      </w:divBdr>
    </w:div>
    <w:div w:id="1337226052">
      <w:bodyDiv w:val="1"/>
      <w:marLeft w:val="0"/>
      <w:marRight w:val="0"/>
      <w:marTop w:val="0"/>
      <w:marBottom w:val="0"/>
      <w:divBdr>
        <w:top w:val="none" w:sz="0" w:space="0" w:color="auto"/>
        <w:left w:val="none" w:sz="0" w:space="0" w:color="auto"/>
        <w:bottom w:val="none" w:sz="0" w:space="0" w:color="auto"/>
        <w:right w:val="none" w:sz="0" w:space="0" w:color="auto"/>
      </w:divBdr>
    </w:div>
    <w:div w:id="1378630049">
      <w:bodyDiv w:val="1"/>
      <w:marLeft w:val="0"/>
      <w:marRight w:val="0"/>
      <w:marTop w:val="0"/>
      <w:marBottom w:val="0"/>
      <w:divBdr>
        <w:top w:val="none" w:sz="0" w:space="0" w:color="auto"/>
        <w:left w:val="none" w:sz="0" w:space="0" w:color="auto"/>
        <w:bottom w:val="none" w:sz="0" w:space="0" w:color="auto"/>
        <w:right w:val="none" w:sz="0" w:space="0" w:color="auto"/>
      </w:divBdr>
    </w:div>
    <w:div w:id="1579562134">
      <w:bodyDiv w:val="1"/>
      <w:marLeft w:val="0"/>
      <w:marRight w:val="0"/>
      <w:marTop w:val="0"/>
      <w:marBottom w:val="0"/>
      <w:divBdr>
        <w:top w:val="none" w:sz="0" w:space="0" w:color="auto"/>
        <w:left w:val="none" w:sz="0" w:space="0" w:color="auto"/>
        <w:bottom w:val="none" w:sz="0" w:space="0" w:color="auto"/>
        <w:right w:val="none" w:sz="0" w:space="0" w:color="auto"/>
      </w:divBdr>
    </w:div>
    <w:div w:id="1831602332">
      <w:bodyDiv w:val="1"/>
      <w:marLeft w:val="0"/>
      <w:marRight w:val="0"/>
      <w:marTop w:val="0"/>
      <w:marBottom w:val="0"/>
      <w:divBdr>
        <w:top w:val="none" w:sz="0" w:space="0" w:color="auto"/>
        <w:left w:val="none" w:sz="0" w:space="0" w:color="auto"/>
        <w:bottom w:val="none" w:sz="0" w:space="0" w:color="auto"/>
        <w:right w:val="none" w:sz="0" w:space="0" w:color="auto"/>
      </w:divBdr>
    </w:div>
    <w:div w:id="191250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regulatory-information/search-fda-guidance-documents/computerized-systems-used-clinical-investigations" TargetMode="External"/><Relationship Id="rId18" Type="http://schemas.openxmlformats.org/officeDocument/2006/relationships/hyperlink" Target="https://www.fda.gov/industry/about-esg/appendix-g-letters-non-repudiation-agre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da.gov/regulatory-information/search-fda-guidance-documents/e6r2-good-clinical-practice-integrated-addendum-ich-e6r1" TargetMode="External"/><Relationship Id="rId17" Type="http://schemas.openxmlformats.org/officeDocument/2006/relationships/hyperlink" Target="https://www.fda.gov/regulatory-information/search-fda-guidance-documents/use-electronic-records-and-electronic-signatures-clinical-investigations-under-21-cfr-part-1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ccessdata.fda.gov/scripts/cdrh/cfdocs/cfcfr/cfrsearch.cfm?cfrpart=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base.ich.org/sites/default/files/E6_R2_Addendum.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da.gov/regulatory-information/search-fda-guidance-documents/part-11-electronic-records-electronic-signatures-scope-and-applic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ites.veevavault.help/gr/validation_do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regulatory-information/search-fda-guidance-documents/electronic-source-data-clinical-investigation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base.ich.org/sites/default/files/E6_R2_Addendum.pdf" TargetMode="External"/><Relationship Id="rId2" Type="http://schemas.openxmlformats.org/officeDocument/2006/relationships/hyperlink" Target="https://www.fda.gov/industry/about-esg/appendix-g-letters-non-repudiation-agreement" TargetMode="External"/><Relationship Id="rId1" Type="http://schemas.openxmlformats.org/officeDocument/2006/relationships/hyperlink" Target="https://database.ich.org/sites/default/files/E6_R2_Adde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fa134f-29e1-4271-8e18-5bb3d2cd17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8E67DE8FFBE5E647AA2A063EC3923ECD" ma:contentTypeVersion="6" ma:contentTypeDescription="Create a new document." ma:contentTypeScope="" ma:versionID="5aed91ea3456bad95fc4f0ff6d2ff114">
  <xsd:schema xmlns:xsd="http://www.w3.org/2001/XMLSchema" xmlns:xs="http://www.w3.org/2001/XMLSchema" xmlns:p="http://schemas.microsoft.com/office/2006/metadata/properties" xmlns:ns2="62fa134f-29e1-4271-8e18-5bb3d2cd17cd" xmlns:ns3="366e0ad9-c6af-4c63-8a3b-1665582b55cd" targetNamespace="http://schemas.microsoft.com/office/2006/metadata/properties" ma:root="true" ma:fieldsID="08569f9fb1c36a22d00d27c1094ef987" ns2:_="" ns3:_="">
    <xsd:import namespace="62fa134f-29e1-4271-8e18-5bb3d2cd17cd"/>
    <xsd:import namespace="366e0ad9-c6af-4c63-8a3b-1665582b5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a134f-29e1-4271-8e18-5bb3d2cd1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e0ad9-c6af-4c63-8a3b-1665582b5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F21F3-D7DB-4EC6-9DE4-8A47B1E248DC}">
  <ds:schemaRefs>
    <ds:schemaRef ds:uri="http://schemas.microsoft.com/office/2006/metadata/properties"/>
    <ds:schemaRef ds:uri="http://schemas.microsoft.com/office/infopath/2007/PartnerControls"/>
    <ds:schemaRef ds:uri="62fa134f-29e1-4271-8e18-5bb3d2cd17cd"/>
  </ds:schemaRefs>
</ds:datastoreItem>
</file>

<file path=customXml/itemProps2.xml><?xml version="1.0" encoding="utf-8"?>
<ds:datastoreItem xmlns:ds="http://schemas.openxmlformats.org/officeDocument/2006/customXml" ds:itemID="{FF0416AC-6AB8-45C6-9B6B-6DAFF2F3EA7F}">
  <ds:schemaRefs>
    <ds:schemaRef ds:uri="http://schemas.microsoft.com/sharepoint/v3/contenttype/forms"/>
  </ds:schemaRefs>
</ds:datastoreItem>
</file>

<file path=customXml/itemProps3.xml><?xml version="1.0" encoding="utf-8"?>
<ds:datastoreItem xmlns:ds="http://schemas.openxmlformats.org/officeDocument/2006/customXml" ds:itemID="{2F553C37-210A-4531-AEF8-55D96000B633}">
  <ds:schemaRefs>
    <ds:schemaRef ds:uri="http://schemas.openxmlformats.org/officeDocument/2006/bibliography"/>
  </ds:schemaRefs>
</ds:datastoreItem>
</file>

<file path=customXml/itemProps4.xml><?xml version="1.0" encoding="utf-8"?>
<ds:datastoreItem xmlns:ds="http://schemas.openxmlformats.org/officeDocument/2006/customXml" ds:itemID="{0CB02FED-4BF2-47DA-8100-10276A6C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a134f-29e1-4271-8e18-5bb3d2cd17cd"/>
    <ds:schemaRef ds:uri="366e0ad9-c6af-4c63-8a3b-1665582b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Hosta</dc:creator>
  <cp:lastModifiedBy>Abbie Hosta</cp:lastModifiedBy>
  <cp:revision>4</cp:revision>
  <dcterms:created xsi:type="dcterms:W3CDTF">2021-09-10T16:47:00Z</dcterms:created>
  <dcterms:modified xsi:type="dcterms:W3CDTF">2021-09-10T16:50:00Z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0x0101008E67DE8FFBE5E647AA2A063EC3923ECD</vt:lpwstr>
  </property>
</Properties>
</file>